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E4900" w14:textId="77777777" w:rsidR="00B47904" w:rsidRPr="001778A8" w:rsidRDefault="009C143C" w:rsidP="005418F1">
      <w:pPr>
        <w:pStyle w:val="Heading3"/>
        <w:rPr>
          <w:rtl/>
        </w:rPr>
      </w:pPr>
      <w:r w:rsidRPr="009C143C">
        <w:rPr>
          <w:rtl/>
        </w:rPr>
        <w:t xml:space="preserve">المادة التدريبية عدد 1: تمرين متعلّق بالالتزامات التسعة </w:t>
      </w:r>
    </w:p>
    <w:p w14:paraId="229357B9" w14:textId="77777777" w:rsidR="00D51EDD" w:rsidRPr="001778A8" w:rsidRDefault="009C143C" w:rsidP="005418F1">
      <w:pPr>
        <w:pStyle w:val="Heading4"/>
        <w:rPr>
          <w:rtl/>
        </w:rPr>
      </w:pPr>
      <w:r w:rsidRPr="009C143C">
        <w:rPr>
          <w:rtl/>
        </w:rPr>
        <w:t>إرشادات للمدرّب</w:t>
      </w:r>
    </w:p>
    <w:p w14:paraId="09991C11" w14:textId="77777777" w:rsidR="009C143C" w:rsidRPr="00D82570" w:rsidRDefault="009C143C" w:rsidP="00D82570">
      <w:pPr>
        <w:spacing w:after="160"/>
      </w:pPr>
      <w:r w:rsidRPr="009C143C">
        <w:rPr>
          <w:rtl/>
        </w:rPr>
        <w:t xml:space="preserve">قم بقصّ الجدول أدناه إلى شرائط ووزّعها على المشاركين حيث يتمّ استعمال 18 تعليمة على الأقلّ (تعليمتين لكلّ التزام). وزّع على المشاركين التعليمات فقط وليس الالتزامات المرتبطة بها، فهذه الالتزامات ستُستعمل من قبل المدرّب كدليل فقط ويمكن الاستعانة بها لتوجيه تمرين استخلاص المعلومات. </w:t>
      </w:r>
    </w:p>
    <w:tbl>
      <w:tblPr>
        <w:tblStyle w:val="TableGrid"/>
        <w:bidiVisual/>
        <w:tblW w:w="9493" w:type="dxa"/>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CellMar>
          <w:top w:w="113" w:type="dxa"/>
          <w:left w:w="85" w:type="dxa"/>
          <w:bottom w:w="113" w:type="dxa"/>
          <w:right w:w="85" w:type="dxa"/>
        </w:tblCellMar>
        <w:tblLook w:val="04A0" w:firstRow="1" w:lastRow="0" w:firstColumn="1" w:lastColumn="0" w:noHBand="0" w:noVBand="1"/>
      </w:tblPr>
      <w:tblGrid>
        <w:gridCol w:w="2688"/>
        <w:gridCol w:w="6805"/>
      </w:tblGrid>
      <w:tr w:rsidR="009C143C" w:rsidRPr="009C143C" w14:paraId="1E7D512C" w14:textId="77777777" w:rsidTr="00C66AE7">
        <w:trPr>
          <w:tblHeader/>
        </w:trPr>
        <w:tc>
          <w:tcPr>
            <w:tcW w:w="2688" w:type="dxa"/>
            <w:shd w:val="clear" w:color="auto" w:fill="E9F7CB" w:themeFill="background2" w:themeFillTint="33"/>
          </w:tcPr>
          <w:p w14:paraId="51D67312" w14:textId="77777777" w:rsidR="009C143C" w:rsidRPr="009C143C" w:rsidRDefault="009C143C" w:rsidP="00E37789">
            <w:pPr>
              <w:pStyle w:val="tableheading"/>
              <w:spacing w:before="0" w:after="0"/>
            </w:pPr>
            <w:r w:rsidRPr="009C143C">
              <w:rPr>
                <w:rFonts w:hint="cs"/>
                <w:rtl/>
              </w:rPr>
              <w:t>الالتزام</w:t>
            </w:r>
          </w:p>
        </w:tc>
        <w:tc>
          <w:tcPr>
            <w:tcW w:w="6805" w:type="dxa"/>
            <w:tcBorders>
              <w:bottom w:val="dashed" w:sz="12" w:space="0" w:color="579305" w:themeColor="accent1"/>
            </w:tcBorders>
            <w:shd w:val="clear" w:color="auto" w:fill="E9F7CB" w:themeFill="background2" w:themeFillTint="33"/>
          </w:tcPr>
          <w:p w14:paraId="2B094A8A" w14:textId="77777777" w:rsidR="009C143C" w:rsidRPr="009C143C" w:rsidRDefault="009C143C" w:rsidP="00E37789">
            <w:pPr>
              <w:pStyle w:val="tableheading"/>
              <w:spacing w:before="0" w:after="0"/>
              <w:rPr>
                <w:rFonts w:eastAsia="MS PGothic"/>
              </w:rPr>
            </w:pPr>
            <w:r w:rsidRPr="009C143C">
              <w:rPr>
                <w:rFonts w:eastAsia="MS PGothic" w:hint="cs"/>
                <w:rtl/>
              </w:rPr>
              <w:t>التعليمات</w:t>
            </w:r>
          </w:p>
        </w:tc>
      </w:tr>
      <w:tr w:rsidR="00453C79" w:rsidRPr="009C143C" w14:paraId="29FA2259" w14:textId="77777777" w:rsidTr="00C66AE7">
        <w:tc>
          <w:tcPr>
            <w:tcW w:w="2688" w:type="dxa"/>
            <w:vMerge w:val="restart"/>
            <w:tcBorders>
              <w:right w:val="dashed" w:sz="12" w:space="0" w:color="579305" w:themeColor="accent1"/>
            </w:tcBorders>
          </w:tcPr>
          <w:p w14:paraId="489FD1EF" w14:textId="77777777" w:rsidR="00453C79" w:rsidRPr="009C143C" w:rsidRDefault="00453C79" w:rsidP="009C143C">
            <w:pPr>
              <w:pStyle w:val="table"/>
            </w:pPr>
            <w:r w:rsidRPr="00453C79">
              <w:rPr>
                <w:rFonts w:hint="cs"/>
                <w:b/>
                <w:bCs/>
                <w:rtl/>
              </w:rPr>
              <w:t xml:space="preserve">الالتزام 1: </w:t>
            </w:r>
            <w: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المساعدة</w:t>
            </w:r>
            <w:r w:rsidRPr="009C143C">
              <w:t xml:space="preserve"> </w:t>
            </w:r>
            <w:r w:rsidRPr="009C143C">
              <w:rPr>
                <w:rtl/>
              </w:rPr>
              <w:t>المناسبة</w:t>
            </w:r>
            <w:r w:rsidRPr="009C143C">
              <w:t xml:space="preserve"> </w:t>
            </w:r>
            <w:r w:rsidRPr="009C143C">
              <w:rPr>
                <w:rtl/>
              </w:rPr>
              <w:t>والملائمة</w:t>
            </w:r>
            <w:r w:rsidRPr="009C143C">
              <w:rPr>
                <w:rFonts w:hint="cs"/>
                <w:rtl/>
              </w:rPr>
              <w:t xml:space="preserve"> </w:t>
            </w:r>
            <w:r w:rsidRPr="009C143C">
              <w:rPr>
                <w:rtl/>
              </w:rPr>
              <w:t>لاحتياجاتهم</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3645AC92" w14:textId="77777777" w:rsidR="00453C79" w:rsidRPr="00453C79" w:rsidRDefault="00453C79" w:rsidP="00453C79">
            <w:pPr>
              <w:pStyle w:val="table"/>
              <w:rPr>
                <w:rFonts w:eastAsia="MS PGothic"/>
                <w:rtl/>
              </w:rPr>
            </w:pPr>
            <w:r w:rsidRPr="009C143C">
              <w:rPr>
                <w:rFonts w:eastAsia="MS PGothic" w:hint="cs"/>
                <w:rtl/>
              </w:rPr>
              <w:t xml:space="preserve">التقييم والتحليل هي عمليّة وليست مجرّد حدث، ينبغي إجراء تحليل مُعمّق حسب ما يسمح به الوقت. لا ينبغي تصوّر احتياجات المجتمعات المتضرّرة بطريقة اعتباطية بل يجب تحديدها وفقا لمجموعة من التقديرات من خلال إشراك تلك المجتمعات في عدّة مناقشات وبالتالي إيجاد الاستجابات المناسبة. </w:t>
            </w:r>
          </w:p>
        </w:tc>
      </w:tr>
      <w:tr w:rsidR="00453C79" w:rsidRPr="009C143C" w14:paraId="62B53E83" w14:textId="77777777" w:rsidTr="00C66AE7">
        <w:tc>
          <w:tcPr>
            <w:tcW w:w="2688" w:type="dxa"/>
            <w:vMerge/>
            <w:tcBorders>
              <w:right w:val="dashed" w:sz="12" w:space="0" w:color="579305" w:themeColor="accent1"/>
            </w:tcBorders>
          </w:tcPr>
          <w:p w14:paraId="7C048AD8"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54F6A7E" w14:textId="77777777" w:rsidR="00453C79" w:rsidRPr="009C143C" w:rsidRDefault="00453C79" w:rsidP="00453C79">
            <w:pPr>
              <w:pStyle w:val="table"/>
              <w:rPr>
                <w:rFonts w:eastAsia="MS PGothic"/>
                <w:rtl/>
              </w:rPr>
            </w:pPr>
            <w:r w:rsidRPr="00453C79">
              <w:rPr>
                <w:rFonts w:eastAsia="MS PGothic"/>
                <w:rtl/>
              </w:rPr>
              <w:t>تكييف البرامج لكي تتناسب مع الاحتياجات والقدرات والسياقات المتغيرة.</w:t>
            </w:r>
          </w:p>
        </w:tc>
      </w:tr>
      <w:tr w:rsidR="00453C79" w:rsidRPr="009C143C" w14:paraId="27D4DA1A" w14:textId="77777777" w:rsidTr="00C66AE7">
        <w:tc>
          <w:tcPr>
            <w:tcW w:w="2688" w:type="dxa"/>
            <w:vMerge/>
            <w:tcBorders>
              <w:right w:val="dashed" w:sz="12" w:space="0" w:color="579305" w:themeColor="accent1"/>
            </w:tcBorders>
          </w:tcPr>
          <w:p w14:paraId="5E2C0027"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90ECCD5" w14:textId="77777777" w:rsidR="00453C79" w:rsidRPr="00453C79" w:rsidRDefault="00453C79" w:rsidP="00453C79">
            <w:pPr>
              <w:pStyle w:val="table"/>
              <w:rPr>
                <w:rFonts w:eastAsia="MS PGothic"/>
                <w:rtl/>
              </w:rPr>
            </w:pPr>
            <w:r w:rsidRPr="00453C79">
              <w:rPr>
                <w:rFonts w:eastAsia="MS PGothic"/>
                <w:rtl/>
              </w:rPr>
              <w:t xml:space="preserve">تُحدّد السياسات مجموعة الالتزامات التي تأخذ بعين الاعتبار تنوّع المجتمعات والتي تشمل الأشخاص المحرومين والمهمشين، كما تُحدّد جمع البيانات المصنفة. </w:t>
            </w:r>
          </w:p>
        </w:tc>
      </w:tr>
      <w:tr w:rsidR="00453C79" w:rsidRPr="009C143C" w14:paraId="751F9E6E" w14:textId="77777777" w:rsidTr="00C66AE7">
        <w:tc>
          <w:tcPr>
            <w:tcW w:w="2688" w:type="dxa"/>
            <w:vMerge w:val="restart"/>
            <w:tcBorders>
              <w:right w:val="dashed" w:sz="12" w:space="0" w:color="579305" w:themeColor="accent1"/>
            </w:tcBorders>
          </w:tcPr>
          <w:p w14:paraId="2BBFDF4E" w14:textId="77777777" w:rsidR="00453C79" w:rsidRPr="009C143C" w:rsidRDefault="00453C79" w:rsidP="009C143C">
            <w:pPr>
              <w:pStyle w:val="table"/>
            </w:pPr>
            <w:r w:rsidRPr="00453C79">
              <w:rPr>
                <w:rFonts w:hint="cs"/>
                <w:b/>
                <w:bCs/>
                <w:rtl/>
              </w:rPr>
              <w:t>الالتزام 2:</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الحصول</w:t>
            </w:r>
            <w:r w:rsidRPr="009C143C">
              <w:t xml:space="preserve"> </w:t>
            </w:r>
            <w:r w:rsidRPr="009C143C">
              <w:rPr>
                <w:rtl/>
              </w:rPr>
              <w:t>على</w:t>
            </w:r>
            <w:r w:rsidRPr="009C143C">
              <w:t xml:space="preserve"> </w:t>
            </w:r>
            <w:r w:rsidRPr="009C143C">
              <w:rPr>
                <w:rtl/>
              </w:rPr>
              <w:t>المساعدات</w:t>
            </w:r>
            <w:r w:rsidRPr="009C143C">
              <w:t xml:space="preserve"> </w:t>
            </w:r>
            <w:r w:rsidRPr="009C143C">
              <w:rPr>
                <w:rtl/>
              </w:rPr>
              <w:t>الإنسانية</w:t>
            </w:r>
            <w:r w:rsidRPr="009C143C">
              <w:rPr>
                <w:rFonts w:hint="cs"/>
                <w:rtl/>
              </w:rPr>
              <w:t xml:space="preserve"> </w:t>
            </w:r>
            <w:r w:rsidRPr="009C143C">
              <w:rPr>
                <w:rtl/>
              </w:rPr>
              <w:t>التي</w:t>
            </w:r>
            <w:r w:rsidRPr="009C143C">
              <w:t xml:space="preserve"> </w:t>
            </w:r>
            <w:r w:rsidRPr="009C143C">
              <w:rPr>
                <w:rtl/>
              </w:rPr>
              <w:t>يحتاجون</w:t>
            </w:r>
            <w:r w:rsidRPr="009C143C">
              <w:t xml:space="preserve"> </w:t>
            </w:r>
            <w:r w:rsidRPr="009C143C">
              <w:rPr>
                <w:rtl/>
              </w:rPr>
              <w:t>إليها</w:t>
            </w:r>
            <w:r w:rsidRPr="009C143C">
              <w:t xml:space="preserve"> </w:t>
            </w:r>
            <w:r w:rsidRPr="009C143C">
              <w:rPr>
                <w:rtl/>
              </w:rPr>
              <w:t>في</w:t>
            </w:r>
            <w:r w:rsidRPr="009C143C">
              <w:t xml:space="preserve"> </w:t>
            </w:r>
            <w:r w:rsidRPr="009C143C">
              <w:rPr>
                <w:rtl/>
              </w:rPr>
              <w:t>الوقت</w:t>
            </w:r>
            <w:r w:rsidRPr="009C143C">
              <w:t xml:space="preserve"> </w:t>
            </w:r>
            <w:r w:rsidRPr="009C143C">
              <w:rPr>
                <w:rtl/>
              </w:rPr>
              <w:t>المناسب</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7AE66E3A" w14:textId="77777777" w:rsidR="00453C79" w:rsidRPr="009C143C" w:rsidRDefault="00453C79" w:rsidP="00453C79">
            <w:pPr>
              <w:pStyle w:val="table"/>
              <w:rPr>
                <w:rtl/>
              </w:rPr>
            </w:pPr>
            <w:r w:rsidRPr="009C143C">
              <w:rPr>
                <w:rFonts w:hint="cs"/>
                <w:rtl/>
              </w:rPr>
              <w:t>استخدام</w:t>
            </w:r>
            <w:r w:rsidRPr="009C143C">
              <w:t xml:space="preserve"> </w:t>
            </w:r>
            <w:r w:rsidRPr="009C143C">
              <w:rPr>
                <w:rFonts w:hint="cs"/>
                <w:rtl/>
              </w:rPr>
              <w:t>المعايير</w:t>
            </w:r>
            <w:r w:rsidRPr="009C143C">
              <w:t xml:space="preserve"> </w:t>
            </w:r>
            <w:r w:rsidRPr="009C143C">
              <w:rPr>
                <w:rFonts w:hint="cs"/>
                <w:rtl/>
              </w:rPr>
              <w:t>التقنية</w:t>
            </w:r>
            <w:r w:rsidRPr="009C143C">
              <w:t xml:space="preserve"> </w:t>
            </w:r>
            <w:r w:rsidRPr="009C143C">
              <w:rPr>
                <w:rFonts w:hint="cs"/>
                <w:rtl/>
              </w:rPr>
              <w:t>والممارسات</w:t>
            </w:r>
            <w:r w:rsidRPr="009C143C">
              <w:t xml:space="preserve"> </w:t>
            </w:r>
            <w:r w:rsidRPr="009C143C">
              <w:rPr>
                <w:rFonts w:hint="cs"/>
                <w:rtl/>
              </w:rPr>
              <w:t>الجيدة</w:t>
            </w:r>
            <w:r w:rsidRPr="009C143C">
              <w:t xml:space="preserve"> </w:t>
            </w:r>
            <w:r w:rsidRPr="009C143C">
              <w:rPr>
                <w:rFonts w:hint="cs"/>
                <w:rtl/>
              </w:rPr>
              <w:t>ذات</w:t>
            </w:r>
            <w:r w:rsidRPr="009C143C">
              <w:t xml:space="preserve"> </w:t>
            </w:r>
            <w:r w:rsidRPr="009C143C">
              <w:rPr>
                <w:rFonts w:hint="cs"/>
                <w:rtl/>
              </w:rPr>
              <w:t>الصلة</w:t>
            </w:r>
            <w:r w:rsidRPr="009C143C">
              <w:t xml:space="preserve"> </w:t>
            </w:r>
            <w:r w:rsidRPr="009C143C">
              <w:rPr>
                <w:rFonts w:hint="cs"/>
                <w:rtl/>
              </w:rPr>
              <w:t>في</w:t>
            </w:r>
            <w:r w:rsidRPr="009C143C">
              <w:t xml:space="preserve"> </w:t>
            </w:r>
            <w:r w:rsidRPr="009C143C">
              <w:rPr>
                <w:rFonts w:hint="cs"/>
                <w:rtl/>
              </w:rPr>
              <w:t>جميع</w:t>
            </w:r>
            <w:r w:rsidRPr="009C143C">
              <w:t xml:space="preserve"> </w:t>
            </w:r>
            <w:r w:rsidRPr="009C143C">
              <w:rPr>
                <w:rFonts w:hint="cs"/>
                <w:rtl/>
              </w:rPr>
              <w:t>أنحاء</w:t>
            </w:r>
            <w:r w:rsidRPr="009C143C">
              <w:t xml:space="preserve"> </w:t>
            </w:r>
            <w:r w:rsidRPr="009C143C">
              <w:rPr>
                <w:rFonts w:hint="cs"/>
                <w:rtl/>
              </w:rPr>
              <w:t>القطاع</w:t>
            </w:r>
            <w:r w:rsidRPr="009C143C">
              <w:t xml:space="preserve"> </w:t>
            </w:r>
            <w:r w:rsidRPr="009C143C">
              <w:rPr>
                <w:rFonts w:hint="cs"/>
                <w:rtl/>
              </w:rPr>
              <w:t>الإنساني</w:t>
            </w:r>
            <w:r w:rsidRPr="009C143C">
              <w:t xml:space="preserve"> </w:t>
            </w:r>
            <w:r w:rsidRPr="009C143C">
              <w:rPr>
                <w:rFonts w:hint="cs"/>
                <w:rtl/>
              </w:rPr>
              <w:t>لتخطيط</w:t>
            </w:r>
            <w:r w:rsidRPr="009C143C">
              <w:t xml:space="preserve"> </w:t>
            </w:r>
            <w:r w:rsidRPr="009C143C">
              <w:rPr>
                <w:rFonts w:hint="cs"/>
                <w:rtl/>
              </w:rPr>
              <w:t>البرامج وتقديرها.</w:t>
            </w:r>
          </w:p>
        </w:tc>
      </w:tr>
      <w:tr w:rsidR="00453C79" w:rsidRPr="009C143C" w14:paraId="6A4881CD" w14:textId="77777777" w:rsidTr="00C66AE7">
        <w:tc>
          <w:tcPr>
            <w:tcW w:w="2688" w:type="dxa"/>
            <w:vMerge/>
            <w:tcBorders>
              <w:right w:val="dashed" w:sz="12" w:space="0" w:color="579305" w:themeColor="accent1"/>
            </w:tcBorders>
          </w:tcPr>
          <w:p w14:paraId="590DC970"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0F5A1B0" w14:textId="77777777" w:rsidR="00453C79" w:rsidRPr="009C143C" w:rsidRDefault="00453C79" w:rsidP="009C143C">
            <w:pPr>
              <w:pStyle w:val="table"/>
              <w:rPr>
                <w:rtl/>
              </w:rPr>
            </w:pPr>
            <w:r w:rsidRPr="00453C79">
              <w:rPr>
                <w:rtl/>
              </w:rPr>
              <w:t>يضمن التزام السياسات: "أ". الرصد والتقدير المنهجي والموضوعي والمستمرّ للأنشطة وفعاليّتها، "ب". استخدام الأدلّة الناتجة عن الرصد والتقييم لتكييف البرامج وتحسينها، "ج". أخذ القرارات في الوقت المناسب وتخصيص الموارد وفقا لذلك.</w:t>
            </w:r>
          </w:p>
        </w:tc>
      </w:tr>
      <w:tr w:rsidR="00453C79" w:rsidRPr="009C143C" w14:paraId="185F926C" w14:textId="77777777" w:rsidTr="00C66AE7">
        <w:tc>
          <w:tcPr>
            <w:tcW w:w="2688" w:type="dxa"/>
            <w:vMerge/>
            <w:tcBorders>
              <w:right w:val="dashed" w:sz="12" w:space="0" w:color="579305" w:themeColor="accent1"/>
            </w:tcBorders>
          </w:tcPr>
          <w:p w14:paraId="7AA87D65" w14:textId="77777777" w:rsidR="00453C79" w:rsidRPr="009C143C" w:rsidRDefault="00453C79" w:rsidP="009C143C">
            <w:pPr>
              <w:pStyle w:val="table"/>
              <w:rPr>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CDF94E3" w14:textId="77777777" w:rsidR="00453C79" w:rsidRPr="009C143C" w:rsidRDefault="00453C79" w:rsidP="009C143C">
            <w:pPr>
              <w:pStyle w:val="table"/>
              <w:rPr>
                <w:rtl/>
              </w:rPr>
            </w:pPr>
            <w:r w:rsidRPr="00453C79">
              <w:rPr>
                <w:rtl/>
              </w:rPr>
              <w:t>إحالة أي احتياجات لم تتمّ تلبيتها إلى المنظمات ذات الخبرة التقنية المناسبة والمختصّة أو قم بالسعي لمناصرة الاحتياجات التي ينبغي تلبيتها.</w:t>
            </w:r>
          </w:p>
        </w:tc>
      </w:tr>
      <w:tr w:rsidR="00D82570" w:rsidRPr="009C143C" w14:paraId="39EFEC23" w14:textId="77777777" w:rsidTr="00C66AE7">
        <w:tc>
          <w:tcPr>
            <w:tcW w:w="2688" w:type="dxa"/>
            <w:vMerge w:val="restart"/>
            <w:tcBorders>
              <w:right w:val="dashed" w:sz="12" w:space="0" w:color="579305" w:themeColor="accent1"/>
            </w:tcBorders>
          </w:tcPr>
          <w:p w14:paraId="2580F76D" w14:textId="77777777" w:rsidR="00D82570" w:rsidRPr="009C143C" w:rsidRDefault="00D82570" w:rsidP="009C143C">
            <w:pPr>
              <w:pStyle w:val="table"/>
            </w:pPr>
            <w:r w:rsidRPr="00453C79">
              <w:rPr>
                <w:rFonts w:hint="cs"/>
                <w:b/>
                <w:bCs/>
                <w:rtl/>
              </w:rPr>
              <w:t>الالتزام 3:</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لي</w:t>
            </w:r>
            <w:r w:rsidRPr="009C143C">
              <w:rPr>
                <w:rFonts w:hint="cs"/>
                <w:rtl/>
              </w:rPr>
              <w:t>س</w:t>
            </w:r>
            <w:r w:rsidRPr="009C143C">
              <w:rPr>
                <w:rtl/>
              </w:rPr>
              <w:t>وا</w:t>
            </w:r>
            <w:r w:rsidRPr="009C143C">
              <w:t xml:space="preserve"> </w:t>
            </w:r>
            <w:r w:rsidRPr="009C143C">
              <w:rPr>
                <w:rtl/>
              </w:rPr>
              <w:t>متأث</w:t>
            </w:r>
            <w:r w:rsidRPr="009C143C">
              <w:rPr>
                <w:rFonts w:hint="cs"/>
                <w:rtl/>
              </w:rPr>
              <w:t>ر</w:t>
            </w:r>
            <w:r w:rsidRPr="009C143C">
              <w:rPr>
                <w:rtl/>
              </w:rPr>
              <w:t>ين</w:t>
            </w:r>
            <w:r w:rsidRPr="009C143C">
              <w:t xml:space="preserve"> </w:t>
            </w:r>
            <w:r w:rsidRPr="009C143C">
              <w:rPr>
                <w:rtl/>
              </w:rPr>
              <w:t>سلباً</w:t>
            </w:r>
            <w:r w:rsidRPr="009C143C">
              <w:t xml:space="preserve"> </w:t>
            </w:r>
            <w:r w:rsidRPr="009C143C">
              <w:rPr>
                <w:rtl/>
              </w:rPr>
              <w:t>وهم</w:t>
            </w:r>
            <w:r w:rsidRPr="009C143C">
              <w:t xml:space="preserve"> </w:t>
            </w:r>
            <w:r w:rsidRPr="009C143C">
              <w:rPr>
                <w:rtl/>
              </w:rPr>
              <w:t>أكثر</w:t>
            </w:r>
            <w:r w:rsidRPr="009C143C">
              <w:t xml:space="preserve"> </w:t>
            </w:r>
            <w:r w:rsidRPr="009C143C">
              <w:rPr>
                <w:rtl/>
              </w:rPr>
              <w:t>استعداداً</w:t>
            </w:r>
            <w:r w:rsidRPr="009C143C">
              <w:rPr>
                <w:rFonts w:hint="cs"/>
                <w:rtl/>
              </w:rPr>
              <w:t xml:space="preserve"> </w:t>
            </w:r>
            <w:r w:rsidRPr="009C143C">
              <w:rPr>
                <w:rtl/>
              </w:rPr>
              <w:t>وقدرة</w:t>
            </w:r>
            <w:r w:rsidRPr="009C143C">
              <w:t xml:space="preserve"> </w:t>
            </w:r>
            <w:r w:rsidRPr="009C143C">
              <w:rPr>
                <w:rtl/>
              </w:rPr>
              <w:t>على</w:t>
            </w:r>
            <w:r w:rsidRPr="009C143C">
              <w:t xml:space="preserve"> </w:t>
            </w:r>
            <w:r w:rsidRPr="009C143C">
              <w:rPr>
                <w:rtl/>
              </w:rPr>
              <w:t>الصمود،</w:t>
            </w:r>
            <w:r w:rsidRPr="009C143C">
              <w:t xml:space="preserve"> </w:t>
            </w:r>
            <w:r w:rsidRPr="009C143C">
              <w:rPr>
                <w:rtl/>
              </w:rPr>
              <w:t>وأقل</w:t>
            </w:r>
            <w:r w:rsidRPr="009C143C">
              <w:t xml:space="preserve"> </w:t>
            </w:r>
            <w:r w:rsidRPr="009C143C">
              <w:rPr>
                <w:rtl/>
              </w:rPr>
              <w:t>تعرضاً</w:t>
            </w:r>
            <w:r w:rsidRPr="009C143C">
              <w:t xml:space="preserve"> </w:t>
            </w:r>
            <w:r w:rsidRPr="009C143C">
              <w:rPr>
                <w:rtl/>
              </w:rPr>
              <w:t>للخطر</w:t>
            </w:r>
            <w:r w:rsidRPr="009C143C">
              <w:t xml:space="preserve"> </w:t>
            </w:r>
            <w:r w:rsidRPr="009C143C">
              <w:rPr>
                <w:rtl/>
              </w:rPr>
              <w:t>نتيجة</w:t>
            </w:r>
            <w:r w:rsidRPr="009C143C">
              <w:t xml:space="preserve"> </w:t>
            </w:r>
            <w:r w:rsidRPr="009C143C">
              <w:rPr>
                <w:rtl/>
              </w:rPr>
              <w:t>للعمل</w:t>
            </w:r>
            <w:r w:rsidRPr="009C143C">
              <w:t xml:space="preserve"> </w:t>
            </w:r>
            <w:r w:rsidRPr="009C143C">
              <w:rPr>
                <w:rtl/>
              </w:rPr>
              <w:t>الإنساني</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FA0E14B" w14:textId="77777777" w:rsidR="00D82570" w:rsidRPr="009C143C" w:rsidRDefault="00D82570" w:rsidP="00D82570">
            <w:pPr>
              <w:pStyle w:val="table"/>
              <w:rPr>
                <w:rtl/>
              </w:rPr>
            </w:pPr>
            <w:r w:rsidRPr="009C143C">
              <w:rPr>
                <w:rFonts w:hint="cs"/>
                <w:rtl/>
              </w:rPr>
              <w:t xml:space="preserve">تَعتبر كلّ من السلطات المحليّة والقادة والمنظمات المسؤولة عن الاستجابة إثر الأزمات بأن قدراتهم جميعا قد شهدت تطوّرا. </w:t>
            </w:r>
          </w:p>
        </w:tc>
      </w:tr>
      <w:tr w:rsidR="00D82570" w:rsidRPr="009C143C" w14:paraId="4E60211E" w14:textId="77777777" w:rsidTr="00C66AE7">
        <w:tc>
          <w:tcPr>
            <w:tcW w:w="2688" w:type="dxa"/>
            <w:vMerge/>
            <w:tcBorders>
              <w:right w:val="dashed" w:sz="12" w:space="0" w:color="579305" w:themeColor="accent1"/>
            </w:tcBorders>
          </w:tcPr>
          <w:p w14:paraId="4442D827" w14:textId="77777777" w:rsidR="00D82570" w:rsidRPr="00453C79" w:rsidRDefault="00D82570"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36B170D" w14:textId="77777777" w:rsidR="00D82570" w:rsidRPr="009C143C" w:rsidRDefault="00D82570" w:rsidP="009C143C">
            <w:pPr>
              <w:pStyle w:val="table"/>
              <w:rPr>
                <w:rtl/>
              </w:rPr>
            </w:pPr>
            <w:r w:rsidRPr="00D82570">
              <w:rPr>
                <w:rtl/>
              </w:rPr>
              <w:t xml:space="preserve">هل تمّ وضع الاستراتيجيات والإجراءات للحدّ من الخطر ولبناء القدرة على الصمود نتيجة التشاور مع السكان والمجتمعات المتضررة؟ </w:t>
            </w:r>
          </w:p>
        </w:tc>
      </w:tr>
      <w:tr w:rsidR="00D82570" w:rsidRPr="009C143C" w14:paraId="3D038FFA" w14:textId="77777777" w:rsidTr="00C66AE7">
        <w:tc>
          <w:tcPr>
            <w:tcW w:w="2688" w:type="dxa"/>
            <w:vMerge/>
            <w:tcBorders>
              <w:right w:val="dashed" w:sz="12" w:space="0" w:color="579305" w:themeColor="accent1"/>
            </w:tcBorders>
          </w:tcPr>
          <w:p w14:paraId="58E35C1B" w14:textId="77777777" w:rsidR="00D82570" w:rsidRPr="00453C79" w:rsidRDefault="00D82570"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5515A57" w14:textId="77777777" w:rsidR="00D82570" w:rsidRPr="009C143C" w:rsidRDefault="00D82570" w:rsidP="009C143C">
            <w:pPr>
              <w:pStyle w:val="table"/>
              <w:rPr>
                <w:rtl/>
              </w:rPr>
            </w:pPr>
            <w:r w:rsidRPr="00D82570">
              <w:rPr>
                <w:rtl/>
              </w:rPr>
              <w:t>تطوير المبادرات القيادية والمنظمات المحلية بوصفها المستجيب الأول عند حدوث أزمات في المستقبل، واتخاذ الخطوات اللازمة لضمان التمثيل المناسب للفئات المهمشة والمحرومة.</w:t>
            </w:r>
          </w:p>
        </w:tc>
      </w:tr>
      <w:tr w:rsidR="0095406E" w:rsidRPr="009C143C" w14:paraId="68335806" w14:textId="77777777" w:rsidTr="00C66AE7">
        <w:tc>
          <w:tcPr>
            <w:tcW w:w="2688" w:type="dxa"/>
            <w:vMerge w:val="restart"/>
            <w:tcBorders>
              <w:right w:val="dashed" w:sz="12" w:space="0" w:color="579305" w:themeColor="accent1"/>
            </w:tcBorders>
          </w:tcPr>
          <w:p w14:paraId="4CB73187" w14:textId="77777777" w:rsidR="0095406E" w:rsidRPr="009C143C" w:rsidRDefault="0095406E" w:rsidP="009C143C">
            <w:pPr>
              <w:pStyle w:val="table"/>
            </w:pPr>
            <w:r w:rsidRPr="0095406E">
              <w:rPr>
                <w:rFonts w:hint="cs"/>
                <w:b/>
                <w:bCs/>
                <w:rtl/>
              </w:rPr>
              <w:lastRenderedPageBreak/>
              <w:t>الالتزام</w:t>
            </w:r>
            <w:r w:rsidRPr="0095406E">
              <w:rPr>
                <w:b/>
                <w:bCs/>
                <w:rtl/>
              </w:rPr>
              <w:t xml:space="preserve"> </w:t>
            </w:r>
            <w:r w:rsidRPr="0095406E">
              <w:rPr>
                <w:rFonts w:hint="cs"/>
                <w:b/>
                <w:bCs/>
                <w:rtl/>
              </w:rPr>
              <w:t>4:</w:t>
            </w:r>
            <w:r w:rsidRPr="009C143C">
              <w:rPr>
                <w:rFonts w:hint="cs"/>
                <w:rtl/>
              </w:rPr>
              <w:t xml:space="preserve"> </w:t>
            </w:r>
            <w:r w:rsidR="007D4052">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يعرفون</w:t>
            </w:r>
            <w:r w:rsidRPr="009C143C">
              <w:t xml:space="preserve"> </w:t>
            </w:r>
            <w:r w:rsidRPr="009C143C">
              <w:rPr>
                <w:rtl/>
              </w:rPr>
              <w:t>حقوقهم</w:t>
            </w:r>
            <w:r w:rsidRPr="009C143C">
              <w:t xml:space="preserve"> </w:t>
            </w:r>
            <w:r w:rsidRPr="009C143C">
              <w:rPr>
                <w:rtl/>
              </w:rPr>
              <w:t>واستحقاقاتهم،</w:t>
            </w:r>
            <w:r w:rsidRPr="009C143C">
              <w:t xml:space="preserve"> </w:t>
            </w:r>
            <w:r w:rsidRPr="009C143C">
              <w:rPr>
                <w:rtl/>
              </w:rPr>
              <w:t>يمكنهم</w:t>
            </w:r>
            <w:r w:rsidRPr="009C143C">
              <w:rPr>
                <w:rFonts w:hint="cs"/>
                <w:rtl/>
              </w:rPr>
              <w:t xml:space="preserve"> </w:t>
            </w:r>
            <w:r w:rsidRPr="009C143C">
              <w:rPr>
                <w:rtl/>
              </w:rPr>
              <w:t>الحصول</w:t>
            </w:r>
            <w:r w:rsidRPr="009C143C">
              <w:t xml:space="preserve"> </w:t>
            </w:r>
            <w:r w:rsidRPr="009C143C">
              <w:rPr>
                <w:rtl/>
              </w:rPr>
              <w:t>على</w:t>
            </w:r>
            <w:r w:rsidRPr="009C143C">
              <w:t xml:space="preserve"> </w:t>
            </w:r>
            <w:r w:rsidRPr="009C143C">
              <w:rPr>
                <w:rtl/>
              </w:rPr>
              <w:t>المعلومات</w:t>
            </w:r>
            <w:r w:rsidRPr="009C143C">
              <w:t xml:space="preserve"> </w:t>
            </w:r>
            <w:r w:rsidRPr="009C143C">
              <w:rPr>
                <w:rtl/>
              </w:rPr>
              <w:t>ويشاركون</w:t>
            </w:r>
            <w:r w:rsidRPr="009C143C">
              <w:t xml:space="preserve"> </w:t>
            </w:r>
            <w:r w:rsidRPr="009C143C">
              <w:rPr>
                <w:rtl/>
              </w:rPr>
              <w:t>في</w:t>
            </w:r>
            <w:r w:rsidRPr="009C143C">
              <w:t xml:space="preserve"> </w:t>
            </w:r>
            <w:r w:rsidRPr="009C143C">
              <w:rPr>
                <w:rtl/>
              </w:rPr>
              <w:t>اتخاذ</w:t>
            </w:r>
            <w:r w:rsidRPr="009C143C">
              <w:t xml:space="preserve"> </w:t>
            </w:r>
            <w:r w:rsidRPr="009C143C">
              <w:rPr>
                <w:rtl/>
              </w:rPr>
              <w:t>القرارات</w:t>
            </w:r>
            <w:r w:rsidRPr="009C143C">
              <w:t xml:space="preserve"> </w:t>
            </w:r>
            <w:r w:rsidRPr="009C143C">
              <w:rPr>
                <w:rtl/>
              </w:rPr>
              <w:t>التي</w:t>
            </w:r>
            <w:r w:rsidRPr="009C143C">
              <w:t xml:space="preserve"> </w:t>
            </w:r>
            <w:r w:rsidRPr="009C143C">
              <w:rPr>
                <w:rtl/>
              </w:rPr>
              <w:t>تعنى</w:t>
            </w:r>
            <w:r w:rsidRPr="009C143C">
              <w:t xml:space="preserve"> </w:t>
            </w:r>
            <w:r w:rsidRPr="009C143C">
              <w:rPr>
                <w:rtl/>
              </w:rPr>
              <w:t>بهم</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AF3DB5D" w14:textId="77777777" w:rsidR="0095406E" w:rsidRPr="009C143C" w:rsidRDefault="0095406E" w:rsidP="0095406E">
            <w:pPr>
              <w:pStyle w:val="table"/>
              <w:rPr>
                <w:rtl/>
              </w:rPr>
            </w:pPr>
            <w:r w:rsidRPr="009C143C">
              <w:rPr>
                <w:rFonts w:hint="cs"/>
                <w:rtl/>
              </w:rPr>
              <w:t>ضمان</w:t>
            </w:r>
            <w:r w:rsidRPr="009C143C">
              <w:t xml:space="preserve"> </w:t>
            </w:r>
            <w:r w:rsidRPr="009C143C">
              <w:rPr>
                <w:rFonts w:hint="cs"/>
                <w:rtl/>
              </w:rPr>
              <w:t>التمثيل</w:t>
            </w:r>
            <w:r w:rsidRPr="009C143C">
              <w:t xml:space="preserve"> </w:t>
            </w:r>
            <w:r w:rsidRPr="009C143C">
              <w:rPr>
                <w:rFonts w:hint="cs"/>
                <w:rtl/>
              </w:rPr>
              <w:t>الشامل،</w:t>
            </w:r>
            <w:r w:rsidRPr="009C143C">
              <w:t xml:space="preserve"> </w:t>
            </w:r>
            <w:r w:rsidRPr="009C143C">
              <w:rPr>
                <w:rFonts w:hint="cs"/>
                <w:rtl/>
              </w:rPr>
              <w:t>الذي</w:t>
            </w:r>
            <w:r w:rsidRPr="009C143C">
              <w:t xml:space="preserve"> </w:t>
            </w:r>
            <w:r w:rsidRPr="009C143C">
              <w:rPr>
                <w:rFonts w:hint="cs"/>
                <w:rtl/>
              </w:rPr>
              <w:t>ينطوي</w:t>
            </w:r>
            <w:r w:rsidRPr="009C143C">
              <w:t xml:space="preserve"> </w:t>
            </w:r>
            <w:r w:rsidRPr="009C143C">
              <w:rPr>
                <w:rFonts w:hint="cs"/>
                <w:rtl/>
              </w:rPr>
              <w:t>على</w:t>
            </w:r>
            <w:r w:rsidRPr="009C143C">
              <w:t xml:space="preserve"> </w:t>
            </w:r>
            <w:r w:rsidRPr="009C143C">
              <w:rPr>
                <w:rFonts w:hint="cs"/>
                <w:rtl/>
              </w:rPr>
              <w:t>مشاركة</w:t>
            </w:r>
            <w:r w:rsidRPr="009C143C">
              <w:t xml:space="preserve"> </w:t>
            </w:r>
            <w:r w:rsidRPr="009C143C">
              <w:rPr>
                <w:rFonts w:hint="cs"/>
                <w:rtl/>
              </w:rPr>
              <w:t>وانخراط</w:t>
            </w:r>
            <w:r w:rsidRPr="009C143C">
              <w:t xml:space="preserve"> </w:t>
            </w:r>
            <w:r w:rsidRPr="009C143C">
              <w:rPr>
                <w:rFonts w:hint="cs"/>
                <w:rtl/>
              </w:rPr>
              <w:t>المجتمعات</w:t>
            </w:r>
            <w:r w:rsidRPr="009C143C">
              <w:t xml:space="preserve"> </w:t>
            </w:r>
            <w:r w:rsidRPr="009C143C">
              <w:rPr>
                <w:rFonts w:hint="cs"/>
                <w:rtl/>
              </w:rPr>
              <w:t>والأشخاص</w:t>
            </w:r>
            <w:r w:rsidRPr="009C143C">
              <w:t xml:space="preserve"> </w:t>
            </w:r>
            <w:r w:rsidRPr="009C143C">
              <w:rPr>
                <w:rFonts w:hint="cs"/>
                <w:rtl/>
              </w:rPr>
              <w:t>المتضررين</w:t>
            </w:r>
            <w:r w:rsidRPr="009C143C">
              <w:t xml:space="preserve"> </w:t>
            </w:r>
            <w:r w:rsidRPr="009C143C">
              <w:rPr>
                <w:rFonts w:hint="cs"/>
                <w:rtl/>
              </w:rPr>
              <w:t>من</w:t>
            </w:r>
            <w:r w:rsidRPr="009C143C">
              <w:t xml:space="preserve"> </w:t>
            </w:r>
            <w:r w:rsidRPr="009C143C">
              <w:rPr>
                <w:rFonts w:hint="cs"/>
                <w:rtl/>
              </w:rPr>
              <w:t>الأزمات</w:t>
            </w:r>
            <w:r w:rsidRPr="009C143C">
              <w:t xml:space="preserve"> </w:t>
            </w:r>
            <w:r w:rsidRPr="009C143C">
              <w:rPr>
                <w:rFonts w:hint="cs"/>
                <w:rtl/>
              </w:rPr>
              <w:t>في جميع</w:t>
            </w:r>
            <w:r w:rsidRPr="009C143C">
              <w:t xml:space="preserve"> </w:t>
            </w:r>
            <w:r w:rsidRPr="009C143C">
              <w:rPr>
                <w:rFonts w:hint="cs"/>
                <w:rtl/>
              </w:rPr>
              <w:t>مراحل</w:t>
            </w:r>
            <w:r w:rsidRPr="009C143C">
              <w:t xml:space="preserve"> </w:t>
            </w:r>
            <w:r w:rsidRPr="009C143C">
              <w:rPr>
                <w:rFonts w:hint="cs"/>
                <w:rtl/>
              </w:rPr>
              <w:t>العمل</w:t>
            </w:r>
            <w:r w:rsidRPr="009C143C">
              <w:t>.</w:t>
            </w:r>
          </w:p>
        </w:tc>
      </w:tr>
      <w:tr w:rsidR="0095406E" w:rsidRPr="009C143C" w14:paraId="6DE8751A" w14:textId="77777777" w:rsidTr="00C66AE7">
        <w:tc>
          <w:tcPr>
            <w:tcW w:w="2688" w:type="dxa"/>
            <w:vMerge/>
            <w:tcBorders>
              <w:right w:val="dashed" w:sz="12" w:space="0" w:color="579305" w:themeColor="accent1"/>
            </w:tcBorders>
          </w:tcPr>
          <w:p w14:paraId="14C4C4D6" w14:textId="77777777" w:rsidR="0095406E" w:rsidRPr="0095406E" w:rsidRDefault="0095406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BBFF35F" w14:textId="77777777" w:rsidR="0095406E" w:rsidRPr="009C143C" w:rsidRDefault="0095406E" w:rsidP="009C143C">
            <w:pPr>
              <w:pStyle w:val="table"/>
              <w:rPr>
                <w:rtl/>
              </w:rPr>
            </w:pPr>
            <w:r w:rsidRPr="0095406E">
              <w:rPr>
                <w:rtl/>
              </w:rPr>
              <w:t xml:space="preserve">في حالة لم تُزوّد المنظمة الأشخاص الذين تهدف إلى مساعدتهم بالمعلومات المناسبة، يمكن أن ينجرّ عن ذلك سوء فهم وتأخيرات وبالتالي مشاريع غير ملائمة تتسبّب في خسارة الموارد، وهو ما سيُولّد تصوّرات سلبيّة عن المنظّمة والشعور بالغضب والإحباط وانعدام الأمن. </w:t>
            </w:r>
          </w:p>
        </w:tc>
      </w:tr>
      <w:tr w:rsidR="0095406E" w:rsidRPr="009C143C" w14:paraId="43558E81" w14:textId="77777777" w:rsidTr="00C66AE7">
        <w:tc>
          <w:tcPr>
            <w:tcW w:w="2688" w:type="dxa"/>
            <w:vMerge/>
            <w:tcBorders>
              <w:right w:val="dashed" w:sz="12" w:space="0" w:color="579305" w:themeColor="accent1"/>
            </w:tcBorders>
          </w:tcPr>
          <w:p w14:paraId="09E14E60" w14:textId="77777777" w:rsidR="0095406E" w:rsidRPr="0095406E" w:rsidRDefault="0095406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38869F5" w14:textId="77777777" w:rsidR="0095406E" w:rsidRPr="009C143C" w:rsidRDefault="0095406E" w:rsidP="009C143C">
            <w:pPr>
              <w:pStyle w:val="table"/>
              <w:rPr>
                <w:rtl/>
              </w:rPr>
            </w:pPr>
            <w:r w:rsidRPr="0095406E">
              <w:rPr>
                <w:rtl/>
              </w:rPr>
              <w:t>التواصل بلغات وأشكال ووسائل يسهل فهمها وتراعي الاختلافات الثقافية لمختلف أفراد المجتمع المحلي، وخاصة الفئات الضعيفة والمهمشة.</w:t>
            </w:r>
          </w:p>
        </w:tc>
      </w:tr>
      <w:tr w:rsidR="007D4052" w:rsidRPr="009C143C" w14:paraId="5A720E5D" w14:textId="77777777" w:rsidTr="00C66AE7">
        <w:tc>
          <w:tcPr>
            <w:tcW w:w="2688" w:type="dxa"/>
            <w:vMerge w:val="restart"/>
            <w:tcBorders>
              <w:right w:val="dashed" w:sz="12" w:space="0" w:color="579305" w:themeColor="accent1"/>
            </w:tcBorders>
          </w:tcPr>
          <w:p w14:paraId="4448D509" w14:textId="77777777" w:rsidR="007D4052" w:rsidRPr="009C143C" w:rsidRDefault="007D4052" w:rsidP="009C143C">
            <w:pPr>
              <w:pStyle w:val="table"/>
            </w:pPr>
            <w:r w:rsidRPr="007D4052">
              <w:rPr>
                <w:rFonts w:hint="cs"/>
                <w:b/>
                <w:bCs/>
                <w:rtl/>
              </w:rPr>
              <w:t>الالتزام</w:t>
            </w:r>
            <w:r w:rsidRPr="007D4052">
              <w:rPr>
                <w:b/>
                <w:bCs/>
                <w:rtl/>
              </w:rPr>
              <w:t xml:space="preserve"> </w:t>
            </w:r>
            <w:r w:rsidRPr="007D4052">
              <w:rPr>
                <w:rFonts w:hint="cs"/>
                <w:b/>
                <w:bCs/>
                <w:rtl/>
              </w:rPr>
              <w:t xml:space="preserve">5: </w:t>
            </w:r>
            <w:r>
              <w:br/>
            </w:r>
            <w:r w:rsidRPr="009C143C">
              <w:rPr>
                <w:rtl/>
              </w:rPr>
              <w:t>المجتمعات</w:t>
            </w:r>
            <w:r w:rsidRPr="009C143C">
              <w:rPr>
                <w:rFonts w:hint="cs"/>
                <w:rtl/>
              </w:rPr>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الوصول</w:t>
            </w:r>
            <w:r w:rsidRPr="009C143C">
              <w:t xml:space="preserve"> </w:t>
            </w:r>
            <w:r w:rsidRPr="009C143C">
              <w:rPr>
                <w:rtl/>
              </w:rPr>
              <w:t>إلى</w:t>
            </w:r>
            <w:r w:rsidRPr="009C143C">
              <w:t xml:space="preserve"> </w:t>
            </w:r>
            <w:r w:rsidRPr="009C143C">
              <w:rPr>
                <w:rtl/>
              </w:rPr>
              <w:t>آليات</w:t>
            </w:r>
            <w:r w:rsidRPr="009C143C">
              <w:t xml:space="preserve"> </w:t>
            </w:r>
            <w:r w:rsidRPr="009C143C">
              <w:rPr>
                <w:rtl/>
              </w:rPr>
              <w:t>آمنة</w:t>
            </w:r>
            <w:r w:rsidRPr="009C143C">
              <w:t xml:space="preserve"> </w:t>
            </w:r>
            <w:r w:rsidRPr="009C143C">
              <w:rPr>
                <w:rtl/>
              </w:rPr>
              <w:t>وفعّالة</w:t>
            </w:r>
            <w:r w:rsidRPr="009C143C">
              <w:rPr>
                <w:rFonts w:hint="cs"/>
                <w:rtl/>
              </w:rPr>
              <w:t xml:space="preserve"> </w:t>
            </w:r>
            <w:r w:rsidRPr="009C143C">
              <w:rPr>
                <w:rtl/>
              </w:rPr>
              <w:t>لمعالجة</w:t>
            </w:r>
            <w:r w:rsidRPr="009C143C">
              <w:t xml:space="preserve"> </w:t>
            </w:r>
            <w:r w:rsidRPr="009C143C">
              <w:rPr>
                <w:rtl/>
              </w:rPr>
              <w:t>الشكاوى</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3921A2DF" w14:textId="77777777" w:rsidR="007D4052" w:rsidRPr="007D4052" w:rsidRDefault="007D4052" w:rsidP="007D4052">
            <w:pPr>
              <w:pStyle w:val="table"/>
              <w:rPr>
                <w:rtl/>
              </w:rPr>
            </w:pPr>
            <w:r w:rsidRPr="009C143C">
              <w:rPr>
                <w:rFonts w:hint="cs"/>
                <w:rtl/>
              </w:rPr>
              <w:t xml:space="preserve">هل أن المعلومات حول كيفيّة عمل آليّات الشكاوى ونوعيّة تلك الشكاوى التي يمكن تقديمها متوفّرة ويمكن فهمها من قبل جميع الفئات السكانيّة؟ </w:t>
            </w:r>
          </w:p>
        </w:tc>
      </w:tr>
      <w:tr w:rsidR="007D4052" w:rsidRPr="009C143C" w14:paraId="129B3941" w14:textId="77777777" w:rsidTr="00C66AE7">
        <w:tc>
          <w:tcPr>
            <w:tcW w:w="2688" w:type="dxa"/>
            <w:vMerge/>
            <w:tcBorders>
              <w:right w:val="dashed" w:sz="12" w:space="0" w:color="579305" w:themeColor="accent1"/>
            </w:tcBorders>
          </w:tcPr>
          <w:p w14:paraId="649DFF51"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C58B818" w14:textId="77777777" w:rsidR="007D4052" w:rsidRPr="009C143C" w:rsidRDefault="007D4052" w:rsidP="009C143C">
            <w:pPr>
              <w:pStyle w:val="table"/>
              <w:rPr>
                <w:rtl/>
              </w:rPr>
            </w:pPr>
            <w:r w:rsidRPr="007D4052">
              <w:rPr>
                <w:rtl/>
              </w:rPr>
              <w:t>ينبغي شرح عمليّة تقديم الشكاوى بشكل واضح للمجتمعات والموظفين كما ينبغي وضع الآليات المتعلّقة بكلّ من المعلومات الحسّاسة (مثل: تلك المتعلقة بالفساد والاستغلال الجنسي وسوء المعاملة أو سوء التصرّف عامّة) والمعلومات غير الحسّاسة (مثل: التحديات المتعلقة باختيار المعايير).</w:t>
            </w:r>
          </w:p>
        </w:tc>
      </w:tr>
      <w:tr w:rsidR="007D4052" w:rsidRPr="009C143C" w14:paraId="3376098E" w14:textId="77777777" w:rsidTr="00C66AE7">
        <w:tc>
          <w:tcPr>
            <w:tcW w:w="2688" w:type="dxa"/>
            <w:vMerge/>
            <w:tcBorders>
              <w:right w:val="dashed" w:sz="12" w:space="0" w:color="579305" w:themeColor="accent1"/>
            </w:tcBorders>
          </w:tcPr>
          <w:p w14:paraId="67F01F7E"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1F51D69" w14:textId="77777777" w:rsidR="007D4052" w:rsidRPr="009C143C" w:rsidRDefault="007D4052" w:rsidP="009C143C">
            <w:pPr>
              <w:pStyle w:val="table"/>
              <w:rPr>
                <w:rtl/>
              </w:rPr>
            </w:pPr>
            <w:r w:rsidRPr="007D4052">
              <w:rPr>
                <w:rtl/>
              </w:rPr>
              <w:t>هل توجد سياسات وميزانيات وإجراءات محدّدة يتمّ العمل بها للتعامل مع الشكاوى؟</w:t>
            </w:r>
          </w:p>
        </w:tc>
      </w:tr>
      <w:tr w:rsidR="007D4052" w:rsidRPr="009C143C" w14:paraId="4D9594D4" w14:textId="77777777" w:rsidTr="00C66AE7">
        <w:tc>
          <w:tcPr>
            <w:tcW w:w="2688" w:type="dxa"/>
            <w:vMerge w:val="restart"/>
            <w:tcBorders>
              <w:right w:val="dashed" w:sz="12" w:space="0" w:color="579305" w:themeColor="accent1"/>
            </w:tcBorders>
          </w:tcPr>
          <w:p w14:paraId="52596035" w14:textId="77777777" w:rsidR="007D4052" w:rsidRPr="009C143C" w:rsidRDefault="007D4052" w:rsidP="009C143C">
            <w:pPr>
              <w:pStyle w:val="table"/>
            </w:pPr>
            <w:r w:rsidRPr="007D4052">
              <w:rPr>
                <w:rFonts w:hint="cs"/>
                <w:b/>
                <w:bCs/>
                <w:rtl/>
              </w:rPr>
              <w:t xml:space="preserve">الالتزام 6: </w:t>
            </w:r>
            <w:r w:rsidRPr="007D4052">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مساعدة</w:t>
            </w:r>
            <w:r w:rsidRPr="009C143C">
              <w:t xml:space="preserve"> </w:t>
            </w:r>
            <w:r w:rsidRPr="009C143C">
              <w:rPr>
                <w:rtl/>
              </w:rPr>
              <w:t>منسقة</w:t>
            </w:r>
            <w:r w:rsidRPr="009C143C">
              <w:t xml:space="preserve"> </w:t>
            </w:r>
            <w:r w:rsidRPr="009C143C">
              <w:rPr>
                <w:rtl/>
              </w:rPr>
              <w:t>ومكملة</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49CCB702" w14:textId="77777777" w:rsidR="007D4052" w:rsidRPr="009C143C" w:rsidRDefault="007D4052" w:rsidP="007D4052">
            <w:pPr>
              <w:pStyle w:val="table"/>
              <w:rPr>
                <w:rtl/>
              </w:rPr>
            </w:pPr>
            <w:r w:rsidRPr="009C143C">
              <w:rPr>
                <w:rFonts w:hint="cs"/>
                <w:rtl/>
              </w:rPr>
              <w:t>إن جميع المنظمات المستجيبة على علم بآليات التنسيق الرسمية وغير الرسمية.</w:t>
            </w:r>
          </w:p>
        </w:tc>
      </w:tr>
      <w:tr w:rsidR="007D4052" w:rsidRPr="009C143C" w14:paraId="0628690A" w14:textId="77777777" w:rsidTr="00C66AE7">
        <w:tc>
          <w:tcPr>
            <w:tcW w:w="2688" w:type="dxa"/>
            <w:vMerge/>
            <w:tcBorders>
              <w:right w:val="dashed" w:sz="12" w:space="0" w:color="579305" w:themeColor="accent1"/>
            </w:tcBorders>
          </w:tcPr>
          <w:p w14:paraId="7E7B5F54"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E05234F" w14:textId="77777777" w:rsidR="007D4052" w:rsidRPr="009C143C" w:rsidRDefault="007D4052" w:rsidP="009C143C">
            <w:pPr>
              <w:pStyle w:val="table"/>
              <w:rPr>
                <w:rtl/>
              </w:rPr>
            </w:pPr>
            <w:r w:rsidRPr="007D4052">
              <w:rPr>
                <w:rtl/>
              </w:rPr>
              <w:t>هل يتم أخذ برامج المنظمات والسلطات الأخرى بعين الاعتبار عند تصميم البرامج والتخطيط لها وتنفيذها؟</w:t>
            </w:r>
          </w:p>
        </w:tc>
      </w:tr>
      <w:tr w:rsidR="007D4052" w:rsidRPr="009C143C" w14:paraId="168F555B" w14:textId="77777777" w:rsidTr="00C66AE7">
        <w:tc>
          <w:tcPr>
            <w:tcW w:w="2688" w:type="dxa"/>
            <w:vMerge/>
            <w:tcBorders>
              <w:right w:val="dashed" w:sz="12" w:space="0" w:color="579305" w:themeColor="accent1"/>
            </w:tcBorders>
          </w:tcPr>
          <w:p w14:paraId="57526838" w14:textId="77777777" w:rsidR="007D4052" w:rsidRPr="007D4052" w:rsidRDefault="007D4052"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F75000B" w14:textId="77777777" w:rsidR="007D4052" w:rsidRPr="009C143C" w:rsidRDefault="007D4052" w:rsidP="009C143C">
            <w:pPr>
              <w:pStyle w:val="table"/>
              <w:rPr>
                <w:rtl/>
              </w:rPr>
            </w:pPr>
            <w:r w:rsidRPr="007D4052">
              <w:rPr>
                <w:rtl/>
              </w:rPr>
              <w:t>تشمل السياسات والاستراتيجيات التزاماً واضحاً بالتنسيق والتعاون مع الآخرين، بما في ذلك السلطات الوطنية والمحلية، دون المسّ بالمبادئ الإنسانية.</w:t>
            </w:r>
          </w:p>
        </w:tc>
      </w:tr>
      <w:tr w:rsidR="00F51127" w:rsidRPr="009C143C" w14:paraId="7A3647CF" w14:textId="77777777" w:rsidTr="00C66AE7">
        <w:tc>
          <w:tcPr>
            <w:tcW w:w="2688" w:type="dxa"/>
            <w:vMerge w:val="restart"/>
            <w:tcBorders>
              <w:right w:val="dashed" w:sz="12" w:space="0" w:color="579305" w:themeColor="accent1"/>
            </w:tcBorders>
          </w:tcPr>
          <w:p w14:paraId="13CA2FBF" w14:textId="77777777" w:rsidR="00F51127" w:rsidRPr="009C143C" w:rsidRDefault="00F51127" w:rsidP="009C143C">
            <w:pPr>
              <w:pStyle w:val="table"/>
            </w:pPr>
            <w:r w:rsidRPr="007D4052">
              <w:rPr>
                <w:rFonts w:hint="cs"/>
                <w:b/>
                <w:bCs/>
                <w:rtl/>
              </w:rPr>
              <w:t xml:space="preserve">الالتزام 7: </w:t>
            </w:r>
            <w:r w:rsidR="00395A92">
              <w:rPr>
                <w:b/>
                <w:bCs/>
              </w:rPr>
              <w:br/>
            </w:r>
            <w:r w:rsidRPr="007D4052">
              <w:rPr>
                <w:b/>
                <w:bCs/>
                <w:rtl/>
              </w:rPr>
              <w:t>ا</w:t>
            </w:r>
            <w:r w:rsidRPr="009C143C">
              <w:rPr>
                <w:rtl/>
              </w:rPr>
              <w:t>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أن</w:t>
            </w:r>
            <w:r w:rsidRPr="009C143C">
              <w:t xml:space="preserve"> </w:t>
            </w:r>
            <w:r w:rsidRPr="009C143C">
              <w:rPr>
                <w:rtl/>
              </w:rPr>
              <w:t>يتوقعوا</w:t>
            </w:r>
            <w:r w:rsidRPr="009C143C">
              <w:t xml:space="preserve"> </w:t>
            </w:r>
            <w:r w:rsidRPr="009C143C">
              <w:rPr>
                <w:rtl/>
              </w:rPr>
              <w:t>تقديم</w:t>
            </w:r>
            <w:r w:rsidRPr="009C143C">
              <w:t xml:space="preserve"> </w:t>
            </w:r>
            <w:r w:rsidRPr="009C143C">
              <w:rPr>
                <w:rtl/>
              </w:rPr>
              <w:t>مساعدة</w:t>
            </w:r>
            <w:r w:rsidRPr="009C143C">
              <w:t xml:space="preserve"> </w:t>
            </w:r>
            <w:r w:rsidRPr="009C143C">
              <w:rPr>
                <w:rtl/>
              </w:rPr>
              <w:t>مطورة</w:t>
            </w:r>
            <w:r w:rsidRPr="009C143C">
              <w:rPr>
                <w:rFonts w:hint="cs"/>
                <w:rtl/>
              </w:rPr>
              <w:t xml:space="preserve"> </w:t>
            </w:r>
            <w:r w:rsidRPr="009C143C">
              <w:rPr>
                <w:rtl/>
              </w:rPr>
              <w:t>ل</w:t>
            </w:r>
            <w:r w:rsidRPr="009C143C">
              <w:rPr>
                <w:rFonts w:hint="cs"/>
                <w:rtl/>
              </w:rPr>
              <w:t>أ</w:t>
            </w:r>
            <w:r w:rsidRPr="009C143C">
              <w:rPr>
                <w:rtl/>
              </w:rPr>
              <w:t>نّ</w:t>
            </w:r>
            <w:r w:rsidRPr="009C143C">
              <w:t xml:space="preserve"> </w:t>
            </w:r>
            <w:r w:rsidRPr="009C143C">
              <w:rPr>
                <w:rtl/>
              </w:rPr>
              <w:t>المنظمات</w:t>
            </w:r>
            <w:r w:rsidRPr="009C143C">
              <w:t xml:space="preserve"> </w:t>
            </w:r>
            <w:r w:rsidRPr="009C143C">
              <w:rPr>
                <w:rtl/>
              </w:rPr>
              <w:t>تتعلّم</w:t>
            </w:r>
            <w:r w:rsidRPr="009C143C">
              <w:t xml:space="preserve"> </w:t>
            </w:r>
            <w:r w:rsidRPr="009C143C">
              <w:rPr>
                <w:rtl/>
              </w:rPr>
              <w:t>من</w:t>
            </w:r>
            <w:r w:rsidRPr="009C143C">
              <w:t xml:space="preserve"> </w:t>
            </w:r>
            <w:r w:rsidRPr="009C143C">
              <w:rPr>
                <w:rtl/>
              </w:rPr>
              <w:t>التجارب</w:t>
            </w:r>
            <w:r w:rsidRPr="009C143C">
              <w:t xml:space="preserve"> </w:t>
            </w:r>
            <w:r w:rsidRPr="009C143C">
              <w:rPr>
                <w:rtl/>
              </w:rPr>
              <w:t>والرصد</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4E9661E4" w14:textId="77777777" w:rsidR="00F51127" w:rsidRPr="00FA77AE" w:rsidRDefault="00F51127" w:rsidP="00FA77AE">
            <w:pPr>
              <w:pStyle w:val="table"/>
              <w:rPr>
                <w:rtl/>
              </w:rPr>
            </w:pPr>
            <w:r w:rsidRPr="009C143C">
              <w:rPr>
                <w:rFonts w:hint="cs"/>
                <w:rtl/>
              </w:rPr>
              <w:t>الاستفادة</w:t>
            </w:r>
            <w:r w:rsidRPr="009C143C">
              <w:t xml:space="preserve"> </w:t>
            </w:r>
            <w:r w:rsidRPr="009C143C">
              <w:rPr>
                <w:rFonts w:hint="cs"/>
                <w:rtl/>
              </w:rPr>
              <w:t>من</w:t>
            </w:r>
            <w:r w:rsidRPr="009C143C">
              <w:t xml:space="preserve"> </w:t>
            </w:r>
            <w:r w:rsidRPr="009C143C">
              <w:rPr>
                <w:rFonts w:hint="cs"/>
                <w:rtl/>
              </w:rPr>
              <w:t>الدروس</w:t>
            </w:r>
            <w:r w:rsidRPr="009C143C">
              <w:t xml:space="preserve"> </w:t>
            </w:r>
            <w:r w:rsidRPr="009C143C">
              <w:rPr>
                <w:rFonts w:hint="cs"/>
                <w:rtl/>
              </w:rPr>
              <w:t>المستخلصة</w:t>
            </w:r>
            <w:r w:rsidRPr="009C143C">
              <w:t xml:space="preserve"> </w:t>
            </w:r>
            <w:r w:rsidRPr="009C143C">
              <w:rPr>
                <w:rFonts w:hint="cs"/>
                <w:rtl/>
              </w:rPr>
              <w:t>والخبرات</w:t>
            </w:r>
            <w:r w:rsidRPr="009C143C">
              <w:t xml:space="preserve"> </w:t>
            </w:r>
            <w:r w:rsidRPr="009C143C">
              <w:rPr>
                <w:rFonts w:hint="cs"/>
                <w:rtl/>
              </w:rPr>
              <w:t>السابقة</w:t>
            </w:r>
            <w:r w:rsidRPr="009C143C">
              <w:t xml:space="preserve"> </w:t>
            </w:r>
            <w:r w:rsidRPr="009C143C">
              <w:rPr>
                <w:rFonts w:hint="cs"/>
                <w:rtl/>
              </w:rPr>
              <w:t>عند</w:t>
            </w:r>
            <w:r w:rsidRPr="009C143C">
              <w:t xml:space="preserve"> </w:t>
            </w:r>
            <w:r w:rsidRPr="009C143C">
              <w:rPr>
                <w:rFonts w:hint="cs"/>
                <w:rtl/>
              </w:rPr>
              <w:t>تصميم</w:t>
            </w:r>
            <w:r w:rsidRPr="009C143C">
              <w:t xml:space="preserve"> </w:t>
            </w:r>
            <w:r w:rsidRPr="009C143C">
              <w:rPr>
                <w:rFonts w:hint="cs"/>
                <w:rtl/>
              </w:rPr>
              <w:t>البرامج</w:t>
            </w:r>
            <w:r w:rsidRPr="009C143C">
              <w:t>.</w:t>
            </w:r>
          </w:p>
        </w:tc>
      </w:tr>
      <w:tr w:rsidR="00F51127" w:rsidRPr="009C143C" w14:paraId="4EECCC91" w14:textId="77777777" w:rsidTr="00C66AE7">
        <w:tc>
          <w:tcPr>
            <w:tcW w:w="2688" w:type="dxa"/>
            <w:vMerge/>
            <w:tcBorders>
              <w:right w:val="dashed" w:sz="12" w:space="0" w:color="579305" w:themeColor="accent1"/>
            </w:tcBorders>
          </w:tcPr>
          <w:p w14:paraId="0F6DC431" w14:textId="77777777" w:rsidR="00F51127" w:rsidRPr="007D4052" w:rsidRDefault="00F51127"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10C462D" w14:textId="77777777" w:rsidR="00F51127" w:rsidRPr="009C143C" w:rsidRDefault="00FA77AE" w:rsidP="009C143C">
            <w:pPr>
              <w:pStyle w:val="table"/>
              <w:rPr>
                <w:rtl/>
              </w:rPr>
            </w:pPr>
            <w:r w:rsidRPr="00FA77AE">
              <w:rPr>
                <w:rtl/>
              </w:rPr>
              <w:t>لطالما كان الأشخاص المتضررين من الأزمة مبتكرين في التكيف مع الظروف المتغيرة وبالتالي يمكن توفير الدعم اللازم لإشراكهم في عمليّة ابتكار وتنمية أكثر منهجية.</w:t>
            </w:r>
          </w:p>
        </w:tc>
      </w:tr>
      <w:tr w:rsidR="00F51127" w:rsidRPr="009C143C" w14:paraId="00AEBAE7" w14:textId="77777777" w:rsidTr="00C66AE7">
        <w:tc>
          <w:tcPr>
            <w:tcW w:w="2688" w:type="dxa"/>
            <w:vMerge/>
            <w:tcBorders>
              <w:right w:val="dashed" w:sz="12" w:space="0" w:color="579305" w:themeColor="accent1"/>
            </w:tcBorders>
          </w:tcPr>
          <w:p w14:paraId="6D70B48F" w14:textId="77777777" w:rsidR="00F51127" w:rsidRPr="007D4052" w:rsidRDefault="00F51127"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7CBCE1C" w14:textId="77777777" w:rsidR="00F51127" w:rsidRPr="009C143C" w:rsidRDefault="00F51127" w:rsidP="009C143C">
            <w:pPr>
              <w:pStyle w:val="table"/>
              <w:rPr>
                <w:rtl/>
              </w:rPr>
            </w:pPr>
            <w:r w:rsidRPr="00F51127">
              <w:rPr>
                <w:rtl/>
              </w:rPr>
              <w:t>على المدى الطويل، عادة ما يكون الموظفون أساس الحفاظ على المعرفة والعلاقات المحلية.</w:t>
            </w:r>
          </w:p>
        </w:tc>
      </w:tr>
      <w:tr w:rsidR="00FA77AE" w:rsidRPr="009C143C" w14:paraId="13AAADBF" w14:textId="77777777" w:rsidTr="00C66AE7">
        <w:tc>
          <w:tcPr>
            <w:tcW w:w="2688" w:type="dxa"/>
            <w:vMerge w:val="restart"/>
            <w:tcBorders>
              <w:right w:val="dashed" w:sz="12" w:space="0" w:color="579305" w:themeColor="accent1"/>
            </w:tcBorders>
          </w:tcPr>
          <w:p w14:paraId="4A44E245" w14:textId="77777777" w:rsidR="00FA77AE" w:rsidRPr="009C143C" w:rsidRDefault="00FA77AE" w:rsidP="008A1E6F">
            <w:pPr>
              <w:pStyle w:val="table"/>
              <w:keepNext/>
            </w:pPr>
            <w:r w:rsidRPr="00FA77AE">
              <w:rPr>
                <w:rFonts w:hint="cs"/>
                <w:b/>
                <w:bCs/>
                <w:rtl/>
              </w:rPr>
              <w:lastRenderedPageBreak/>
              <w:t xml:space="preserve">الالتزام 8: </w:t>
            </w:r>
            <w:r w:rsidRPr="00FA77AE">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يتلقون</w:t>
            </w:r>
            <w:r w:rsidRPr="009C143C">
              <w:t xml:space="preserve"> </w:t>
            </w:r>
            <w:r w:rsidRPr="009C143C">
              <w:rPr>
                <w:rtl/>
              </w:rPr>
              <w:t>المساعدة</w:t>
            </w:r>
            <w:r w:rsidRPr="009C143C">
              <w:t xml:space="preserve"> </w:t>
            </w:r>
            <w:r w:rsidRPr="009C143C">
              <w:rPr>
                <w:rtl/>
              </w:rPr>
              <w:t>التي</w:t>
            </w:r>
            <w:r w:rsidRPr="009C143C">
              <w:t xml:space="preserve"> </w:t>
            </w:r>
            <w:r w:rsidRPr="009C143C">
              <w:rPr>
                <w:rtl/>
              </w:rPr>
              <w:t>يحتاجون</w:t>
            </w:r>
            <w:r w:rsidRPr="009C143C">
              <w:t xml:space="preserve"> </w:t>
            </w:r>
            <w:r w:rsidRPr="009C143C">
              <w:rPr>
                <w:rtl/>
              </w:rPr>
              <w:t>إليها</w:t>
            </w:r>
            <w:r w:rsidRPr="009C143C">
              <w:t xml:space="preserve"> </w:t>
            </w:r>
            <w:r w:rsidRPr="009C143C">
              <w:rPr>
                <w:rtl/>
              </w:rPr>
              <w:t>من</w:t>
            </w:r>
            <w:r w:rsidRPr="009C143C">
              <w:t xml:space="preserve"> </w:t>
            </w:r>
            <w:r w:rsidRPr="009C143C">
              <w:rPr>
                <w:rtl/>
              </w:rPr>
              <w:t>قبل</w:t>
            </w:r>
          </w:p>
          <w:p w14:paraId="4FA94D4E" w14:textId="77777777" w:rsidR="00FA77AE" w:rsidRPr="009C143C" w:rsidRDefault="00FA77AE" w:rsidP="008A1E6F">
            <w:pPr>
              <w:pStyle w:val="table"/>
              <w:keepNext/>
            </w:pPr>
            <w:r w:rsidRPr="009C143C">
              <w:rPr>
                <w:rtl/>
              </w:rPr>
              <w:t>موظفين</w:t>
            </w:r>
            <w:r w:rsidRPr="009C143C">
              <w:t xml:space="preserve"> </w:t>
            </w:r>
            <w:r w:rsidRPr="009C143C">
              <w:rPr>
                <w:rtl/>
              </w:rPr>
              <w:t>ومتطوعين</w:t>
            </w:r>
            <w:r w:rsidRPr="009C143C">
              <w:t xml:space="preserve"> </w:t>
            </w:r>
            <w:r w:rsidRPr="009C143C">
              <w:rPr>
                <w:rtl/>
              </w:rPr>
              <w:t>يتمتعون</w:t>
            </w:r>
            <w:r w:rsidRPr="009C143C">
              <w:t xml:space="preserve"> </w:t>
            </w:r>
            <w:r w:rsidRPr="009C143C">
              <w:rPr>
                <w:rtl/>
              </w:rPr>
              <w:t>بكفاءة</w:t>
            </w:r>
            <w:r w:rsidRPr="009C143C">
              <w:t xml:space="preserve"> </w:t>
            </w:r>
            <w:r w:rsidRPr="009C143C">
              <w:rPr>
                <w:rtl/>
              </w:rPr>
              <w:t>وإدارة</w:t>
            </w:r>
            <w:r w:rsidRPr="009C143C">
              <w:t xml:space="preserve"> </w:t>
            </w:r>
            <w:r w:rsidRPr="009C143C">
              <w:rPr>
                <w:rtl/>
              </w:rPr>
              <w:t>جيدة</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D077F48" w14:textId="77777777" w:rsidR="00FA77AE" w:rsidRPr="009C143C" w:rsidRDefault="00FA77AE" w:rsidP="008A1E6F">
            <w:pPr>
              <w:pStyle w:val="table"/>
              <w:keepNext/>
              <w:rPr>
                <w:rtl/>
              </w:rPr>
            </w:pPr>
            <w:r w:rsidRPr="009C143C">
              <w:rPr>
                <w:rFonts w:hint="cs"/>
                <w:rtl/>
              </w:rPr>
              <w:t>يشعر الموظفون (من الجنسين) بأنهم مدعومون من قبل منظمتهم للقيام بعملهم.</w:t>
            </w:r>
          </w:p>
        </w:tc>
      </w:tr>
      <w:tr w:rsidR="00FA77AE" w:rsidRPr="009C143C" w14:paraId="44B1C240" w14:textId="77777777" w:rsidTr="00C66AE7">
        <w:tc>
          <w:tcPr>
            <w:tcW w:w="2688" w:type="dxa"/>
            <w:vMerge/>
            <w:tcBorders>
              <w:right w:val="dashed" w:sz="12" w:space="0" w:color="579305" w:themeColor="accent1"/>
            </w:tcBorders>
          </w:tcPr>
          <w:p w14:paraId="15D841E5" w14:textId="77777777" w:rsidR="00FA77AE" w:rsidRPr="00FA77AE" w:rsidRDefault="00FA77AE" w:rsidP="008A1E6F">
            <w:pPr>
              <w:pStyle w:val="table"/>
              <w:keepNext/>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464A8F0" w14:textId="77777777" w:rsidR="00FA77AE" w:rsidRPr="009C143C" w:rsidRDefault="00FA77AE" w:rsidP="008A1E6F">
            <w:pPr>
              <w:pStyle w:val="table"/>
              <w:keepNext/>
              <w:rPr>
                <w:rtl/>
              </w:rPr>
            </w:pPr>
            <w:r w:rsidRPr="00FA77AE">
              <w:rPr>
                <w:rtl/>
              </w:rPr>
              <w:t>هل أن الموظفون على علم بسياسات الدعم المتوفرة لتطوير الكفاءات المطلوبة خلال القيام بدورهم، وهل يقومون بالاستفادة من تلك السياسات؟</w:t>
            </w:r>
          </w:p>
        </w:tc>
      </w:tr>
      <w:tr w:rsidR="00FA77AE" w:rsidRPr="009C143C" w14:paraId="6959B32B" w14:textId="77777777" w:rsidTr="00C66AE7">
        <w:tc>
          <w:tcPr>
            <w:tcW w:w="2688" w:type="dxa"/>
            <w:vMerge/>
            <w:tcBorders>
              <w:right w:val="dashed" w:sz="12" w:space="0" w:color="579305" w:themeColor="accent1"/>
            </w:tcBorders>
          </w:tcPr>
          <w:p w14:paraId="7275DA87" w14:textId="77777777" w:rsidR="00FA77AE" w:rsidRPr="00FA77AE" w:rsidRDefault="00FA77AE" w:rsidP="008A1E6F">
            <w:pPr>
              <w:pStyle w:val="table"/>
              <w:keepNext/>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2E4D5F9C" w14:textId="77777777" w:rsidR="00FA77AE" w:rsidRPr="009C143C" w:rsidRDefault="00FA77AE" w:rsidP="008A1E6F">
            <w:pPr>
              <w:pStyle w:val="table"/>
              <w:keepNext/>
              <w:rPr>
                <w:rtl/>
              </w:rPr>
            </w:pPr>
            <w:r w:rsidRPr="00FA77AE">
              <w:rPr>
                <w:rtl/>
              </w:rPr>
              <w:t>وجود مدونة قواعد السلوك تؤسس، كحد أدنى، لالتزام الموظفين بعدم استغلال الناس أو إساءة معاملتهم أو التمييز ضدهم بأي طريقة أخرى.</w:t>
            </w:r>
          </w:p>
        </w:tc>
      </w:tr>
      <w:tr w:rsidR="00FA77AE" w:rsidRPr="009C143C" w14:paraId="6503A2B9" w14:textId="77777777" w:rsidTr="00C66AE7">
        <w:tc>
          <w:tcPr>
            <w:tcW w:w="2688" w:type="dxa"/>
            <w:vMerge w:val="restart"/>
            <w:tcBorders>
              <w:right w:val="dashed" w:sz="12" w:space="0" w:color="579305" w:themeColor="accent1"/>
            </w:tcBorders>
          </w:tcPr>
          <w:p w14:paraId="313B6E1C" w14:textId="77777777" w:rsidR="00FA77AE" w:rsidRPr="009C143C" w:rsidRDefault="00FA77AE" w:rsidP="009C143C">
            <w:pPr>
              <w:pStyle w:val="table"/>
            </w:pPr>
            <w:r w:rsidRPr="00FA77AE">
              <w:rPr>
                <w:rFonts w:hint="cs"/>
                <w:b/>
                <w:bCs/>
                <w:rtl/>
              </w:rPr>
              <w:t xml:space="preserve">الالتزام 9: </w:t>
            </w:r>
            <w:r w:rsidRPr="00FA77AE">
              <w:rPr>
                <w:b/>
                <w:bCs/>
              </w:rPr>
              <w:br/>
            </w:r>
            <w:r w:rsidRPr="009C143C">
              <w:rPr>
                <w:rtl/>
              </w:rPr>
              <w:t>المجتمعات</w:t>
            </w:r>
            <w:r w:rsidRPr="009C143C">
              <w:t xml:space="preserve"> </w:t>
            </w:r>
            <w:r w:rsidRPr="009C143C">
              <w:rPr>
                <w:rtl/>
              </w:rPr>
              <w:t>والأشخاص</w:t>
            </w:r>
            <w:r w:rsidRPr="009C143C">
              <w:t xml:space="preserve"> </w:t>
            </w:r>
            <w:r w:rsidRPr="009C143C">
              <w:rPr>
                <w:rtl/>
              </w:rPr>
              <w:t>المتضرر</w:t>
            </w:r>
            <w:r w:rsidRPr="009C143C">
              <w:rPr>
                <w:rFonts w:hint="cs"/>
                <w:rtl/>
              </w:rPr>
              <w:t>ي</w:t>
            </w:r>
            <w:r w:rsidRPr="009C143C">
              <w:rPr>
                <w:rtl/>
              </w:rPr>
              <w:t>ن</w:t>
            </w:r>
            <w:r w:rsidRPr="009C143C">
              <w:t xml:space="preserve"> </w:t>
            </w:r>
            <w:r w:rsidRPr="009C143C">
              <w:rPr>
                <w:rtl/>
              </w:rPr>
              <w:t>من</w:t>
            </w:r>
            <w:r w:rsidRPr="009C143C">
              <w:t xml:space="preserve"> </w:t>
            </w:r>
            <w:r w:rsidRPr="009C143C">
              <w:rPr>
                <w:rtl/>
              </w:rPr>
              <w:t>الأزمة</w:t>
            </w:r>
            <w:r w:rsidRPr="009C143C">
              <w:t xml:space="preserve"> </w:t>
            </w:r>
            <w:r w:rsidRPr="009C143C">
              <w:rPr>
                <w:rtl/>
              </w:rPr>
              <w:t>يمكنهم</w:t>
            </w:r>
            <w:r w:rsidRPr="009C143C">
              <w:t xml:space="preserve"> </w:t>
            </w:r>
            <w:r w:rsidRPr="009C143C">
              <w:rPr>
                <w:rtl/>
              </w:rPr>
              <w:t>أن</w:t>
            </w:r>
            <w:r w:rsidRPr="009C143C">
              <w:t xml:space="preserve"> </w:t>
            </w:r>
            <w:r w:rsidRPr="009C143C">
              <w:rPr>
                <w:rtl/>
              </w:rPr>
              <w:t>يتوقعوا</w:t>
            </w:r>
            <w:r w:rsidRPr="009C143C">
              <w:t xml:space="preserve"> </w:t>
            </w:r>
            <w:r w:rsidRPr="009C143C">
              <w:rPr>
                <w:rtl/>
              </w:rPr>
              <w:t>أن</w:t>
            </w:r>
            <w:r w:rsidRPr="009C143C">
              <w:t xml:space="preserve"> </w:t>
            </w:r>
            <w:r w:rsidRPr="009C143C">
              <w:rPr>
                <w:rtl/>
              </w:rPr>
              <w:t>المنظمات</w:t>
            </w:r>
            <w:r w:rsidRPr="009C143C">
              <w:t xml:space="preserve"> </w:t>
            </w:r>
            <w:r w:rsidRPr="009C143C">
              <w:rPr>
                <w:rtl/>
              </w:rPr>
              <w:t>التي</w:t>
            </w:r>
            <w:r w:rsidRPr="009C143C">
              <w:t xml:space="preserve"> </w:t>
            </w:r>
            <w:r w:rsidRPr="009C143C">
              <w:rPr>
                <w:rtl/>
              </w:rPr>
              <w:t>تقدّم</w:t>
            </w:r>
          </w:p>
          <w:p w14:paraId="4FFBFAD1" w14:textId="77777777" w:rsidR="00FA77AE" w:rsidRPr="009C143C" w:rsidRDefault="00FA77AE" w:rsidP="009C143C">
            <w:pPr>
              <w:pStyle w:val="table"/>
            </w:pPr>
            <w:r w:rsidRPr="009C143C">
              <w:rPr>
                <w:rtl/>
              </w:rPr>
              <w:t>المساعدة</w:t>
            </w:r>
            <w:r w:rsidRPr="009C143C">
              <w:t xml:space="preserve"> </w:t>
            </w:r>
            <w:r w:rsidRPr="009C143C">
              <w:rPr>
                <w:rtl/>
              </w:rPr>
              <w:t>تدير</w:t>
            </w:r>
            <w:r w:rsidRPr="009C143C">
              <w:t xml:space="preserve"> </w:t>
            </w:r>
            <w:r w:rsidRPr="009C143C">
              <w:rPr>
                <w:rtl/>
              </w:rPr>
              <w:t>الموارد</w:t>
            </w:r>
            <w:r w:rsidRPr="009C143C">
              <w:t xml:space="preserve"> </w:t>
            </w:r>
            <w:r w:rsidRPr="009C143C">
              <w:rPr>
                <w:rtl/>
              </w:rPr>
              <w:t>بفعالية</w:t>
            </w:r>
            <w:r w:rsidRPr="009C143C">
              <w:t xml:space="preserve"> </w:t>
            </w:r>
            <w:r w:rsidRPr="009C143C">
              <w:rPr>
                <w:rtl/>
              </w:rPr>
              <w:t>وكفاءة</w:t>
            </w:r>
            <w:r w:rsidRPr="009C143C">
              <w:t xml:space="preserve"> </w:t>
            </w:r>
            <w:r w:rsidRPr="009C143C">
              <w:rPr>
                <w:rtl/>
              </w:rPr>
              <w:t>وبشكل</w:t>
            </w:r>
            <w:r w:rsidRPr="009C143C">
              <w:t xml:space="preserve"> </w:t>
            </w:r>
            <w:r w:rsidRPr="009C143C">
              <w:rPr>
                <w:rtl/>
              </w:rPr>
              <w:t>أخلاقي</w:t>
            </w:r>
            <w:r w:rsidRPr="009C143C">
              <w:t>.</w:t>
            </w: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10D20B2E" w14:textId="77777777" w:rsidR="00FA77AE" w:rsidRPr="009C143C" w:rsidRDefault="00FA77AE" w:rsidP="00FA77AE">
            <w:pPr>
              <w:pStyle w:val="table"/>
            </w:pPr>
            <w:r w:rsidRPr="009C143C">
              <w:rPr>
                <w:rFonts w:hint="cs"/>
                <w:rtl/>
              </w:rPr>
              <w:t>هل تستند الخدمات والبضائع المتوفّرة على عمليّة مزايدة تنافسيّة؟</w:t>
            </w:r>
          </w:p>
        </w:tc>
      </w:tr>
      <w:tr w:rsidR="00FA77AE" w:rsidRPr="009C143C" w14:paraId="75D4EEC3" w14:textId="77777777" w:rsidTr="00C66AE7">
        <w:tc>
          <w:tcPr>
            <w:tcW w:w="2688" w:type="dxa"/>
            <w:vMerge/>
            <w:tcBorders>
              <w:right w:val="dashed" w:sz="12" w:space="0" w:color="579305" w:themeColor="accent1"/>
            </w:tcBorders>
          </w:tcPr>
          <w:p w14:paraId="57868A31" w14:textId="77777777" w:rsidR="00FA77AE" w:rsidRPr="00FA77AE" w:rsidRDefault="00FA77A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5F7064B9" w14:textId="77777777" w:rsidR="00FA77AE" w:rsidRPr="009C143C" w:rsidRDefault="00FA77AE" w:rsidP="009C143C">
            <w:pPr>
              <w:pStyle w:val="table"/>
              <w:rPr>
                <w:rtl/>
              </w:rPr>
            </w:pPr>
            <w:r w:rsidRPr="00FA77AE">
              <w:rPr>
                <w:rtl/>
              </w:rPr>
              <w:t>إدارة الموارد واستخدامها بهدف لتحقيق الغرض المقصود منها، والحد من الهدر.</w:t>
            </w:r>
          </w:p>
        </w:tc>
      </w:tr>
      <w:tr w:rsidR="00FA77AE" w:rsidRPr="009C143C" w14:paraId="4A724397" w14:textId="77777777" w:rsidTr="00C66AE7">
        <w:tc>
          <w:tcPr>
            <w:tcW w:w="2688" w:type="dxa"/>
            <w:vMerge/>
            <w:tcBorders>
              <w:right w:val="dashed" w:sz="12" w:space="0" w:color="579305" w:themeColor="accent1"/>
            </w:tcBorders>
          </w:tcPr>
          <w:p w14:paraId="04D89BB7" w14:textId="77777777" w:rsidR="00FA77AE" w:rsidRPr="00FA77AE" w:rsidRDefault="00FA77AE" w:rsidP="009C143C">
            <w:pPr>
              <w:pStyle w:val="table"/>
              <w:rPr>
                <w:b/>
                <w:bCs/>
                <w:rtl/>
              </w:rPr>
            </w:pPr>
          </w:p>
        </w:tc>
        <w:tc>
          <w:tcPr>
            <w:tcW w:w="6805" w:type="dxa"/>
            <w:tcBorders>
              <w:top w:val="dashed" w:sz="12" w:space="0" w:color="579305" w:themeColor="accent1"/>
              <w:left w:val="dashed" w:sz="12" w:space="0" w:color="579305" w:themeColor="accent1"/>
              <w:bottom w:val="dashed" w:sz="12" w:space="0" w:color="579305" w:themeColor="accent1"/>
              <w:right w:val="dashed" w:sz="12" w:space="0" w:color="579305" w:themeColor="accent1"/>
            </w:tcBorders>
          </w:tcPr>
          <w:p w14:paraId="04DA6C1D" w14:textId="77777777" w:rsidR="00FA77AE" w:rsidRPr="009C143C" w:rsidRDefault="00FA77AE" w:rsidP="009C143C">
            <w:pPr>
              <w:pStyle w:val="table"/>
              <w:rPr>
                <w:rtl/>
              </w:rPr>
            </w:pPr>
            <w:r w:rsidRPr="00FA77AE">
              <w:rPr>
                <w:rtl/>
              </w:rPr>
              <w:t>أن تكون أكثر انفتاحا وشفافية بخصوص معلومات المشروع وأن تشجّع أصحاب المصلحة على التبليغ عن أي إساءة ناتجة عن استعمال السلطة وأن تكون حذرا بخصوص رصد الموقع، سيساهم كلّ هذا في المساعدة على الحدّ من مخاطر الفساد. في حين أنه من المهمّ وجود أنظمة ناجعة لمكافحة الفساد إلاّ أنّه قد يكون من الضروري وجود ضوابط أكثر مرونة لفترة محدودة من الزمن، خلال المراحل المبكّرة لحالة الطوارئ الحادّة.</w:t>
            </w:r>
          </w:p>
        </w:tc>
      </w:tr>
    </w:tbl>
    <w:p w14:paraId="1C97D465" w14:textId="77777777" w:rsidR="009C143C" w:rsidRDefault="009C143C" w:rsidP="009C143C"/>
    <w:p w14:paraId="07BBE6AF" w14:textId="77777777" w:rsidR="00EB792A" w:rsidRDefault="00EB792A" w:rsidP="00EB792A">
      <w:pPr>
        <w:pStyle w:val="Heading3"/>
        <w:pageBreakBefore/>
        <w:spacing w:before="0"/>
        <w:rPr>
          <w:rtl/>
        </w:rPr>
      </w:pPr>
      <w:r>
        <w:rPr>
          <w:rtl/>
        </w:rPr>
        <w:lastRenderedPageBreak/>
        <w:t>المادة التدريبية عدد 2</w:t>
      </w:r>
    </w:p>
    <w:p w14:paraId="4E8D7FB2" w14:textId="77777777" w:rsidR="00EB792A" w:rsidRDefault="00EB792A" w:rsidP="00EB792A">
      <w:pPr>
        <w:rPr>
          <w:rtl/>
        </w:rPr>
      </w:pPr>
      <w:r>
        <w:rPr>
          <w:rtl/>
        </w:rPr>
        <w:t>قُم بقصّ دراسة الحالة كل واحدة على حدة وثم قم بتوزيعها على كل فريق متكوّنٍ من 3- 5 أعضاء. تتطرق أهم الرسائل إلى التالي: يمكن للمعايير الإنسانيّة الأساسيّة دعم عملية صنع القرار وتطبيقه بشكل ملموس، لاسيما عندما يتمّ قراءتها مع المعايير الدنيا التقنية لاسفير ومبادئ الحماية. قم بدعم العروض التقديمية للمجموعات خلال مرحلة استخلاص المعلومات اعتمادا على الأفكار الإضافية من ملاحظات المدرب أدناه.</w:t>
      </w:r>
    </w:p>
    <w:p w14:paraId="2568AB61" w14:textId="77777777" w:rsidR="009C143C" w:rsidRDefault="00EB792A" w:rsidP="00EB792A">
      <w:pPr>
        <w:pStyle w:val="Heading4"/>
      </w:pPr>
      <w:r>
        <w:rPr>
          <w:rtl/>
        </w:rPr>
        <w:t>تعليمات للفرق</w:t>
      </w:r>
    </w:p>
    <w:p w14:paraId="3B83684D" w14:textId="77777777" w:rsidR="00EB792A" w:rsidRDefault="00EB792A" w:rsidP="00EB792A">
      <w:pPr>
        <w:rPr>
          <w:rtl/>
        </w:rPr>
      </w:pPr>
      <w:r>
        <w:rPr>
          <w:rtl/>
        </w:rPr>
        <w:t>قم مع أعضاء فريقك بالبحث عن طريقة يمكن اعتمادها في هذه الحالة لتحقيق مستوى أعلى من الجودة والمساءلة.</w:t>
      </w:r>
    </w:p>
    <w:p w14:paraId="3B45376D" w14:textId="77777777" w:rsidR="00EB792A" w:rsidRDefault="00EB792A" w:rsidP="00EB792A">
      <w:pPr>
        <w:rPr>
          <w:rtl/>
        </w:rPr>
      </w:pPr>
      <w:r>
        <w:rPr>
          <w:rtl/>
        </w:rPr>
        <w:t>اذكر ثلاثُ طرقٍ على الأقل يمكنك من خلالها تحسين الاستجابة وذلك بالاستعمال المشترك لالتزامات المعايير الإنسانيّة الأساسيّة والمعايير الدنيا التقنية لاسفير ومبادئ الحماية.</w:t>
      </w:r>
    </w:p>
    <w:p w14:paraId="696C2830" w14:textId="77777777" w:rsidR="009C143C" w:rsidRDefault="00EB792A" w:rsidP="00EB792A">
      <w:r>
        <w:rPr>
          <w:rtl/>
        </w:rPr>
        <w:t>كن مستعدا لتقديم نتائج فريقك.</w:t>
      </w:r>
    </w:p>
    <w:p w14:paraId="754EA03C" w14:textId="77777777" w:rsidR="002239CE" w:rsidRDefault="002239CE" w:rsidP="00BD20E2"/>
    <w:tbl>
      <w:tblPr>
        <w:tblStyle w:val="TableGrid"/>
        <w:bidiVisual/>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CellMar>
          <w:top w:w="85" w:type="dxa"/>
          <w:bottom w:w="85" w:type="dxa"/>
        </w:tblCellMar>
        <w:tblLook w:val="04A0" w:firstRow="1" w:lastRow="0" w:firstColumn="1" w:lastColumn="0" w:noHBand="0" w:noVBand="1"/>
      </w:tblPr>
      <w:tblGrid>
        <w:gridCol w:w="9382"/>
      </w:tblGrid>
      <w:tr w:rsidR="00BD20E2" w14:paraId="75DFA6EF" w14:textId="77777777" w:rsidTr="00395A92">
        <w:trPr>
          <w:cantSplit/>
        </w:trPr>
        <w:tc>
          <w:tcPr>
            <w:tcW w:w="9382" w:type="dxa"/>
          </w:tcPr>
          <w:p w14:paraId="64662617" w14:textId="77777777" w:rsidR="00BD20E2" w:rsidRPr="00BD20E2" w:rsidRDefault="00BD20E2" w:rsidP="00395A92">
            <w:pPr>
              <w:pStyle w:val="table"/>
              <w:spacing w:before="20" w:after="20"/>
              <w:rPr>
                <w:rtl/>
              </w:rPr>
            </w:pPr>
            <w:r w:rsidRPr="00BD20E2">
              <w:t>1</w:t>
            </w:r>
          </w:p>
          <w:p w14:paraId="3DD029C8" w14:textId="77777777" w:rsidR="00BD20E2" w:rsidRPr="00BD20E2" w:rsidRDefault="00BD20E2" w:rsidP="00395A92">
            <w:pPr>
              <w:pStyle w:val="table"/>
              <w:spacing w:before="20" w:after="20"/>
              <w:rPr>
                <w:rtl/>
              </w:rPr>
            </w:pPr>
            <w:r w:rsidRPr="00BD20E2">
              <w:rPr>
                <w:rtl/>
              </w:rPr>
              <w:t>في ظرف 48 ساعة، تمكنت 17 منظمةً دولية من تقديم المساعدة. قامت إحدى المنظمات بعقد اجتماعٍ يتطرق إلى الحاجة الملحّة والمستعجلة لمعالجة مُشكل المياه والصرف الصحي في حالات الطوارئ. ستقوم منظمتك بحضور الاجتماع ولكنها ستدعو إلى إعطاء الأولوية للنساء والأطفال في الحصول على المساعدات في المواقع الرئيسية. في حين يُؤكّد رئيس إحدى الوكالات أن تركيزهم سيتمحور في الوقت الحاضر حول إقامة المراحيض وتوزيع المياه المعبأة في زجاجات.</w:t>
            </w:r>
          </w:p>
        </w:tc>
      </w:tr>
      <w:tr w:rsidR="00BD20E2" w14:paraId="43B5AC24" w14:textId="77777777" w:rsidTr="00395A92">
        <w:trPr>
          <w:cantSplit/>
        </w:trPr>
        <w:tc>
          <w:tcPr>
            <w:tcW w:w="9382" w:type="dxa"/>
          </w:tcPr>
          <w:p w14:paraId="20141164" w14:textId="77777777" w:rsidR="00BD20E2" w:rsidRPr="00BD20E2" w:rsidRDefault="00BD20E2" w:rsidP="00395A92">
            <w:pPr>
              <w:pStyle w:val="table"/>
              <w:spacing w:before="20" w:after="20"/>
            </w:pPr>
            <w:r w:rsidRPr="00BD20E2">
              <w:t>2</w:t>
            </w:r>
          </w:p>
          <w:p w14:paraId="3CEBF8D4" w14:textId="77777777" w:rsidR="00BD20E2" w:rsidRPr="00BD20E2" w:rsidRDefault="00BD20E2" w:rsidP="00395A92">
            <w:pPr>
              <w:pStyle w:val="table"/>
              <w:spacing w:before="20" w:after="20"/>
              <w:rPr>
                <w:rtl/>
              </w:rPr>
            </w:pPr>
            <w:r w:rsidRPr="00BD20E2">
              <w:rPr>
                <w:rtl/>
              </w:rPr>
              <w:t>أفاد التقدير السريع الذي وقع إجراءه بأن الحكومة تعاني الأمرّين ومغلوبة على أمرها. كما أفاد أن أكثر من 50 بالمئة من المدارس قد تعرّضت لأضرار فادحة مما تسبب حاليا في انقطاعٍ طويل المدى لسير الدروس. كما أن العديد من الأطفال في عدّاد المفقودين. أطلقت وزارة التعليم نداء استغاثة لمساعدتها على إنشاء غرفٍ للتدريس استعدادا للعام الدراسي المقرر أن يبدأ في غضون 10 أيامِ. تجمعكم مع الوزارة علاقة جيدة ومتينة فأردت دعم هذا المقترح إلاّ أن المئات بدؤوا في التوجه نحو المدارس التي لا تزال قائمةً بحثا عن السكن والطعام والعلاج الطبي والماء.</w:t>
            </w:r>
          </w:p>
        </w:tc>
      </w:tr>
      <w:tr w:rsidR="00BD20E2" w14:paraId="427518E2" w14:textId="77777777" w:rsidTr="00395A92">
        <w:trPr>
          <w:cantSplit/>
        </w:trPr>
        <w:tc>
          <w:tcPr>
            <w:tcW w:w="9382" w:type="dxa"/>
          </w:tcPr>
          <w:p w14:paraId="2B99B3BA" w14:textId="77777777" w:rsidR="00BD20E2" w:rsidRDefault="00BD20E2" w:rsidP="00395A92">
            <w:pPr>
              <w:pStyle w:val="table"/>
              <w:spacing w:before="20" w:after="20"/>
            </w:pPr>
            <w:r>
              <w:t>3</w:t>
            </w:r>
          </w:p>
          <w:p w14:paraId="4290A775" w14:textId="77777777" w:rsidR="00BD20E2" w:rsidRPr="00BD20E2" w:rsidRDefault="00BD20E2" w:rsidP="00395A92">
            <w:pPr>
              <w:pStyle w:val="table"/>
              <w:spacing w:before="20" w:after="20"/>
              <w:rPr>
                <w:rtl/>
              </w:rPr>
            </w:pPr>
            <w:r w:rsidRPr="00BD20E2">
              <w:rPr>
                <w:rtl/>
              </w:rPr>
              <w:t>يبدو أن الاقتصاد المحلي قد تعرض لضربة قوية أطاحت به. يُشكل كل من صيد السمك (الأسواق المحلية والتصديرية) والتعدين وصناعة اللّباس وعمليات تحويل الأموال والسياحة الناشئة العمود الفقري للاقتصاد بساراندا. لذلك من الواضح أنه سيتوجّب على منظمتك العمل على هذه المجالات خلال السنوات القادمة ما سيجعلك ترغب في الاستفادة من بعض البرامج المبتكرة والجديدة التي اعتمدتها منظمتك مؤخرا في حالات طوارئ مماثلة حدثت في منطقة المحيط الهادئ. حصلت على بعض التقدير والنجاح بفضل تقديم منح ٍماليّة لكبار السن والأمهات العازبات في حالات طوارئ مماثلة والتقرير النهائي لازال في طور النشر. ولتزال المقرات الرئيسية تُحفّز بشدة الابداع وتقديم برامج مبتكرة وجديدة أي "الابتكار" في علاقتها العامة حتى الآن.</w:t>
            </w:r>
          </w:p>
        </w:tc>
      </w:tr>
      <w:tr w:rsidR="00BD20E2" w14:paraId="0E042A85" w14:textId="77777777" w:rsidTr="00395A92">
        <w:trPr>
          <w:cantSplit/>
        </w:trPr>
        <w:tc>
          <w:tcPr>
            <w:tcW w:w="9382" w:type="dxa"/>
          </w:tcPr>
          <w:p w14:paraId="214866BA" w14:textId="77777777" w:rsidR="00BD20E2" w:rsidRDefault="00BD20E2" w:rsidP="00395A92">
            <w:pPr>
              <w:pStyle w:val="table"/>
              <w:spacing w:before="20" w:after="20"/>
            </w:pPr>
            <w:r>
              <w:lastRenderedPageBreak/>
              <w:t>4</w:t>
            </w:r>
          </w:p>
          <w:p w14:paraId="7199B221" w14:textId="77777777" w:rsidR="00BD20E2" w:rsidRDefault="00BD20E2" w:rsidP="00395A92">
            <w:pPr>
              <w:pStyle w:val="table"/>
              <w:spacing w:before="20" w:after="20"/>
              <w:rPr>
                <w:rtl/>
              </w:rPr>
            </w:pPr>
            <w:r>
              <w:rPr>
                <w:rtl/>
              </w:rPr>
              <w:t>تُصنف الأسماك واللحوم المعلبة والبطاطا من العناصر الغذائية الأساسية في ساراندا.</w:t>
            </w:r>
          </w:p>
          <w:p w14:paraId="30537D8C" w14:textId="77777777" w:rsidR="00BD20E2" w:rsidRPr="00BD20E2" w:rsidRDefault="00BD20E2" w:rsidP="00395A92">
            <w:pPr>
              <w:pStyle w:val="table"/>
              <w:spacing w:before="20" w:after="20"/>
              <w:rPr>
                <w:rtl/>
              </w:rPr>
            </w:pPr>
            <w:r>
              <w:rPr>
                <w:rtl/>
              </w:rPr>
              <w:t xml:space="preserve">ترتفع مستويات سوء التغذية في المناطق الحضرية التي انتشرت بها النظم الغذائية ذات النوعية الرّديئة. وتقوم منظمتك بتوزيع حصص غذائية ذات جودة عالية إثر حالة الطوارئ وكانت الحصة الغذائية في البداية جافة ومن ثم تم تقديم الطعام الساخن إثر الحصول على الطاقة وذلك حسب الأولوية المشار إليها في تقدير الاحتياجات. قمت بالتعاون مع منظمتك بتقديم التماس مبدئي لشحن كميات كافية من الأغذية المخصصة لحالات الطوارئ ووجبات جاهزة للأكل على وجه السرعة وذلك نظرا لدمار الأسواق المحلية. </w:t>
            </w:r>
          </w:p>
        </w:tc>
      </w:tr>
      <w:tr w:rsidR="00BD20E2" w14:paraId="5EAF1430" w14:textId="77777777" w:rsidTr="00395A92">
        <w:trPr>
          <w:cantSplit/>
        </w:trPr>
        <w:tc>
          <w:tcPr>
            <w:tcW w:w="9382" w:type="dxa"/>
          </w:tcPr>
          <w:p w14:paraId="50DFEECE" w14:textId="77777777" w:rsidR="00BD20E2" w:rsidRDefault="00BD20E2" w:rsidP="00395A92">
            <w:pPr>
              <w:pStyle w:val="table"/>
              <w:spacing w:before="20" w:after="20"/>
            </w:pPr>
            <w:r>
              <w:t>5</w:t>
            </w:r>
          </w:p>
          <w:p w14:paraId="39D94168" w14:textId="77777777" w:rsidR="00BD20E2" w:rsidRPr="00BD20E2" w:rsidRDefault="00744C6B" w:rsidP="00395A92">
            <w:pPr>
              <w:pStyle w:val="table"/>
              <w:spacing w:before="20" w:after="20"/>
              <w:rPr>
                <w:rtl/>
              </w:rPr>
            </w:pPr>
            <w:r w:rsidRPr="00744C6B">
              <w:rPr>
                <w:rtl/>
              </w:rPr>
              <w:t>يمرّ النظام الطبي بأزمةٍ. قامت فرق طبّية دولية بالاتصال بوزارة الصحة عن طريق الإدارات الوطنية للصحة الراجعة لها. توجد عدّة فرقٍ طبية مستعدة لبدء عملها في الحال حيث ستتمتع بالاكتفاء الذاتي طيلة فترة إقامتها. بدأ الممرضات والأطباء وطلاب الطب الأجانب بالوفود إلى العاصمة محمّلين بالإمدادات اللازمة. بصفتك خبيرا طبيا بمنظمتك، انتابك قلق بشكلٍ خاص إزاء الكوليرا، إضافة إلى وجود عديد السيناريوهات المحتملة والسلبية فيما يتعلق بمجال الصحة مما جعلك غير متأكد من أين عليك أن تبدأ نظرا إلى هجرة العاملين المحليين في المجال الطبي الأكثر خبرةً.</w:t>
            </w:r>
          </w:p>
        </w:tc>
      </w:tr>
      <w:tr w:rsidR="00BD20E2" w14:paraId="199D5756" w14:textId="77777777" w:rsidTr="00395A92">
        <w:trPr>
          <w:cantSplit/>
        </w:trPr>
        <w:tc>
          <w:tcPr>
            <w:tcW w:w="9382" w:type="dxa"/>
          </w:tcPr>
          <w:p w14:paraId="7DA6545E" w14:textId="77777777" w:rsidR="00BD20E2" w:rsidRDefault="00744C6B" w:rsidP="00395A92">
            <w:pPr>
              <w:pStyle w:val="table"/>
              <w:spacing w:before="20" w:after="20"/>
            </w:pPr>
            <w:r>
              <w:t>6</w:t>
            </w:r>
          </w:p>
          <w:p w14:paraId="70FF9FAB" w14:textId="77777777" w:rsidR="00744C6B" w:rsidRPr="00BD20E2" w:rsidRDefault="00744C6B" w:rsidP="00395A92">
            <w:pPr>
              <w:pStyle w:val="table"/>
              <w:spacing w:before="20" w:after="20"/>
              <w:rPr>
                <w:rtl/>
              </w:rPr>
            </w:pPr>
            <w:r w:rsidRPr="00744C6B">
              <w:rPr>
                <w:rtl/>
              </w:rPr>
              <w:t>بدأت منظمة محلية بتوزيع المواد الغذائية الأساسية وحفاضات الأطفال وأغذية مخصصة للرضع والماء في مكان قريبٍ من ضواحي المدينة. توافدت أعداد غفيرة من الناس للحصول على العناصر الأربعة التي وقع توزيعها إلى الآن ولم يسجل وقوع أي حادثٍ. أراد زملاؤك ضمّ جهودهم إلى هاته المنظمة. هل يعتبر هذا تصرّفا ذكيّا؟</w:t>
            </w:r>
          </w:p>
        </w:tc>
      </w:tr>
      <w:tr w:rsidR="00BD20E2" w14:paraId="6BD64DAB" w14:textId="77777777" w:rsidTr="00395A92">
        <w:trPr>
          <w:cantSplit/>
        </w:trPr>
        <w:tc>
          <w:tcPr>
            <w:tcW w:w="9382" w:type="dxa"/>
          </w:tcPr>
          <w:p w14:paraId="442C4D97" w14:textId="77777777" w:rsidR="00BD20E2" w:rsidRDefault="00744C6B" w:rsidP="00395A92">
            <w:pPr>
              <w:pStyle w:val="table"/>
              <w:spacing w:before="20" w:after="20"/>
            </w:pPr>
            <w:r>
              <w:t>7</w:t>
            </w:r>
          </w:p>
          <w:p w14:paraId="72A98167" w14:textId="77777777" w:rsidR="00744C6B" w:rsidRPr="00BD20E2" w:rsidRDefault="00744C6B" w:rsidP="00395A92">
            <w:pPr>
              <w:pStyle w:val="table"/>
              <w:spacing w:before="20" w:after="20"/>
              <w:rPr>
                <w:rtl/>
              </w:rPr>
            </w:pPr>
            <w:r w:rsidRPr="00744C6B">
              <w:rPr>
                <w:rtl/>
              </w:rPr>
              <w:t>يعتبر الجيش التابع لساراندا الملاذ الأول للمنكوبين أثناء الكوارث وفقا لدستور الجمهورية الصادر في 2010. أذاع جنرال من الجيش بيانا باللغة المحلية يطلب فيه من السكان المتضررين التوجه إلى أقرب مدرسة للحصول على المساعدة اللازمة- تمكنت من فهم هذا البيان بما أنك تنتمي لمجموعةٍ عرقيّةٍ تتحدّث هذه اللغة. تشغل منصب المدير القُطري لمنظمة معروفة بالبلاد وتملك خبرة واسعة في توفير المساعدة للفئات المستضعفة بما في ذلك أثناء الكوارث. تُؤكد مبادئ منظّمتك على الحياد وعدم التحيّز والاستقلال. كيف يمكن لاسفير مساعدتك في توطيد علاقتك بالقوات المسلحة في هذه الكارثة؟</w:t>
            </w:r>
          </w:p>
        </w:tc>
      </w:tr>
      <w:tr w:rsidR="00BD20E2" w14:paraId="14BB9F4F" w14:textId="77777777" w:rsidTr="00395A92">
        <w:trPr>
          <w:cantSplit/>
        </w:trPr>
        <w:tc>
          <w:tcPr>
            <w:tcW w:w="9382" w:type="dxa"/>
            <w:tcBorders>
              <w:bottom w:val="dashSmallGap" w:sz="12" w:space="0" w:color="579305" w:themeColor="accent1"/>
            </w:tcBorders>
          </w:tcPr>
          <w:p w14:paraId="176E7FB3" w14:textId="77777777" w:rsidR="00BD20E2" w:rsidRDefault="00744C6B" w:rsidP="00395A92">
            <w:pPr>
              <w:pStyle w:val="table"/>
              <w:spacing w:before="20" w:after="20"/>
            </w:pPr>
            <w:r>
              <w:t>8</w:t>
            </w:r>
          </w:p>
          <w:p w14:paraId="0525C322" w14:textId="77777777" w:rsidR="00744C6B" w:rsidRPr="00BD20E2" w:rsidRDefault="00744C6B" w:rsidP="00395A92">
            <w:pPr>
              <w:pStyle w:val="table"/>
              <w:spacing w:before="20" w:after="20"/>
              <w:rPr>
                <w:rtl/>
              </w:rPr>
            </w:pPr>
            <w:r w:rsidRPr="00744C6B">
              <w:rPr>
                <w:rtl/>
              </w:rPr>
              <w:t>تملك منظمتك مخزونا احتياطيا من 5,000 طردا في العاصمة، يحتوي على صابون وأقراص تنقية المياه ومواقد وخيام وبطانيات وناموسيات ويمكنها الحصول على المزيد حالما يتم الإعلان عن عودة نسق العمل بالميناء والمطار. قُمت بإرسال زميل لك للقيام بتقدير سريعٍ ومشتركٍ للاحتياجات لتحديد مدى الحاجة ولن تكون النتائج متوفّرة إلا بعد ثلاثة أيامٍ على الأقل، وقد بدأت وسائل الإعلام المحلية بنشر قصص حول "الاستجابة المتأخرة". فقام القادة المحليّون بزيارة مكتبك طلبا للمساعدة وقام بعضهم بإحضار الهدايا وطلب آخرون توزيع مواد يمكن لمنظمتك جلبها. كما أخبرتك عائلتك وجيرانك (بما أنك من ساراندا) أن الناس بدأوا يشعرون بخيبة الأمل من عدم توفر المساعدة.</w:t>
            </w:r>
          </w:p>
        </w:tc>
      </w:tr>
      <w:tr w:rsidR="00BD20E2" w14:paraId="5EC6505C" w14:textId="77777777" w:rsidTr="00395A92">
        <w:trPr>
          <w:cantSplit/>
        </w:trPr>
        <w:tc>
          <w:tcPr>
            <w:tcW w:w="9382" w:type="dxa"/>
          </w:tcPr>
          <w:p w14:paraId="7CDB56C3" w14:textId="77777777" w:rsidR="00BD20E2" w:rsidRDefault="00744C6B" w:rsidP="00395A92">
            <w:pPr>
              <w:pStyle w:val="table"/>
              <w:spacing w:before="20" w:after="20"/>
            </w:pPr>
            <w:r>
              <w:t>9</w:t>
            </w:r>
          </w:p>
          <w:p w14:paraId="059C7878" w14:textId="77777777" w:rsidR="00744C6B" w:rsidRPr="00BD20E2" w:rsidRDefault="00744C6B" w:rsidP="00395A92">
            <w:pPr>
              <w:pStyle w:val="table"/>
              <w:spacing w:before="20" w:after="20"/>
              <w:rPr>
                <w:rtl/>
              </w:rPr>
            </w:pPr>
            <w:r w:rsidRPr="00744C6B">
              <w:rPr>
                <w:rtl/>
              </w:rPr>
              <w:t xml:space="preserve">بعد أن قامت منظمتك بتقدير مشتركٍ وسريع للاحتياجات، تبين من خلال تحليل البيانات أن أشد الاحتياجات موجودة بالأساس في ثاني أكبر مدينة بساراندا، دالفيا وبعض مراكزها الريفيّة الكبيرة. وتشير التقارير المُتعلّقة بالمخزون توفّر 5,000 طقما من المواد غير الغذائية و2,000 وحدة مأوى لحالات الطوارئ في المخازن الموجودة بمقاطعتك. ولكن عند وصولك إلى هناك، اكتشفت وجود مقدار قليل من المخزون وأنّ ما تبقى قد وقع سلبه. كما أن نوعيّة ما تبقى رديء للغاية حيث لا يمكنك توزيعه. نفى المدير الإقليمي لمنظمتك وهو نجل قائد الشرطة المحلية ارتكابه لأيّ مخالفةٍ وادّعى أن المستودع قد تعرض للسّلب. ولكن حسب رأيك من الواضح قد وقع تسريب السلع وإدارة المستودع بطريقة سيئةٍ. قمت برفع قضايا ضده مما دفعه لتهديدك بتحريض المجتمع المحلي لمنع منظمتك من الوصول إلى المقاطعة. </w:t>
            </w:r>
          </w:p>
        </w:tc>
      </w:tr>
    </w:tbl>
    <w:p w14:paraId="7905BF2C" w14:textId="77777777" w:rsidR="002239CE" w:rsidRDefault="004406D7" w:rsidP="004406D7">
      <w:pPr>
        <w:pStyle w:val="Heading4"/>
      </w:pPr>
      <w:r w:rsidRPr="004406D7">
        <w:rPr>
          <w:rtl/>
        </w:rPr>
        <w:lastRenderedPageBreak/>
        <w:t xml:space="preserve">ملاحظات للمدرب- تقترح هذه الملاحظات مجموعةً من الإجابات بشأن دراسة الحالة (تهدف هذه الملاحظات إلى توجيه المدرب أثناء مرحلة استخلاص المعلومات) </w:t>
      </w:r>
    </w:p>
    <w:p w14:paraId="6C83EE72" w14:textId="77777777" w:rsidR="004E0AFF" w:rsidRPr="00CD1BCB" w:rsidRDefault="004E0AFF" w:rsidP="00395A92">
      <w:pPr>
        <w:pStyle w:val="Handout2casestudy"/>
      </w:pPr>
      <w:r w:rsidRPr="004E0AFF">
        <w:t>1</w:t>
      </w:r>
      <w:r w:rsidR="00395A92">
        <w:br/>
      </w:r>
      <w:r w:rsidRPr="00CD1BCB">
        <w:rPr>
          <w:rtl/>
        </w:rPr>
        <w:t>في ظرف 48 ساعة، تمكنت 17 منظمةً دولية من تقديم المساعدة. قامت إحدى المنظمات بعقد اجتماعٍ يتطرق إلى الحاجة الملحّة والمستعجلة لمعالجة مُشكل المياه والصرف الصحي في حالات الطوارئ. ستقوم منظمتك بحضور الاجتماع ولكنها ستدعو إلى إعطاء الأولوية للنساء والأطفال في الحصول على المساعدات في المواقع الرئيسية. في حين يُؤكّد رئيس إحدى الوكالات أن تركيزهم سيتمحور في الوقت الحاضر حول إقامة المراحيض وتوزيع المياه المعبأة في زجاجات.</w:t>
      </w:r>
    </w:p>
    <w:p w14:paraId="1C5F882C" w14:textId="77777777" w:rsidR="004E0AFF" w:rsidRDefault="004E0AFF" w:rsidP="00CD1BCB">
      <w:pPr>
        <w:pStyle w:val="list1"/>
      </w:pPr>
      <w:r w:rsidRPr="00A40A36">
        <w:rPr>
          <w:b/>
          <w:bCs/>
          <w:rtl/>
        </w:rPr>
        <w:t>التزامات المعايير الإنسانية الأساسيّة</w:t>
      </w:r>
      <w:r>
        <w:rPr>
          <w:rtl/>
        </w:rPr>
        <w:t>: الالتزام 1-(1.1، 2.1، 5.1)؛ الالتزام 6 (3.6،4.6، 6.5، 6.6)</w:t>
      </w:r>
    </w:p>
    <w:p w14:paraId="17F7C419" w14:textId="77777777" w:rsidR="004E0AFF" w:rsidRDefault="004E0AFF" w:rsidP="00CD1BCB">
      <w:pPr>
        <w:pStyle w:val="list2"/>
      </w:pPr>
      <w:r>
        <w:rPr>
          <w:rtl/>
        </w:rPr>
        <w:t>الالتزام 1- يشير هذا المثال إلى ضرورة اجراء تقدير سريعٍ ومعمّق للاحتياجات حيث ينبغي أن يُشكل هذا التقدير والتحليل أساس البرمجة. يجب أن تكون عملية التقدير سريعةً في البداية بهدف انطلاق عملية الاستجابة وتوفير الموارد كما يجب أن تصبح أكثر دقّة وشمولية بقدر الامكان. وينبغي على البرامج التكيف مع المعلومات الجديدة الواردة. أما المنظمات فينبغي عليها تجنب التحيّز وذلك باستخدام البيانات القابلة للإثبات والبيانات التفصيلية بطريقة موضوعيةٍ.</w:t>
      </w:r>
    </w:p>
    <w:p w14:paraId="172AAAD5" w14:textId="77777777" w:rsidR="004E0AFF" w:rsidRDefault="004E0AFF" w:rsidP="00CD1BCB">
      <w:pPr>
        <w:pStyle w:val="list2"/>
      </w:pPr>
      <w:r>
        <w:rPr>
          <w:rtl/>
        </w:rPr>
        <w:t>الالتزام 6- تُشير دراسة الحالة إلى الحاجة إلى تعزيز هياكل التنسيق حيث ينبغي على العاملين في المجال الانساني تشكيل مجموعات أو تكتلات بهدف تبادل البيانات والمعلومات المتعلقة بالاحتياجات والاستجابة والثغرات والصعوبات ما سيعزز فعالية الاستجابة.</w:t>
      </w:r>
    </w:p>
    <w:p w14:paraId="5AE86640" w14:textId="77777777" w:rsidR="004E0AFF" w:rsidRDefault="004E0AFF" w:rsidP="00CD1BCB">
      <w:pPr>
        <w:pStyle w:val="list1"/>
      </w:pPr>
      <w:r w:rsidRPr="00A40A36">
        <w:rPr>
          <w:b/>
          <w:bCs/>
          <w:rtl/>
        </w:rPr>
        <w:t>المعايير الدنيا التقنية</w:t>
      </w:r>
      <w:r>
        <w:rPr>
          <w:rtl/>
        </w:rPr>
        <w:t>: قد يرغب فريقك في إلقاء نظرة على المعايير المتعلقة بمجال الإمداد بالماء والإصحاح والنهوض بالنظافة للتأكد من تلبية احتياجات المجموعات المستضعفة خلال الأيام السبعة الأولى الموالية للكارثة. يجب على المدرب التأكيد على مدى أهمية التقدير السريع للبيانات للتدخل المزعم اجرائه في مجال الإمداد بالماء والإصحاح، مع افتراض وجود حاجة إضافية حسب نوع الكارثة والنزوح. لذلك يتوجب على المشاركين الأخذ في عين الاعتبار معيار مجال الإمداد بالماء والإصحاح والنهوض بالنظافة رقم 1 (ص85، الملاحظة الإرشادية 1 حول التقدير) ومعيار الإمداد بالماء رقم 1(ص92، الملاحظة الإرشادية 1 حول انتقاء مصادر المياه والملاحظة الإرشادية 2 حول الحاجات والملاحظة الإرشادية 4 حول الكمية والتغطية والملاحظة الإرشادية 4 حول الحصول على الماء يشكل عادل) ومعيار الإمداد بالماء رقم 2 (ص95، كل الملاحظات الإرشادية) ومعيار الإمداد بالماء رقم 3 (ص98، الملاحظة الإرشادية 1 حول جمع الماء وحفظه والملاحظة الإرشادية 2 حول الحمامات العامة والمرافق المشتركة لغسل الملابس) ومعيار التخلص من الفضلات العضوية رقم 1 (ص100، الملاحظة الإرشادية 1 حول التخلص المأمون من الفضلات العضوية والملاحظة الإرشادية 2 حول أماكن التغوط والملاحظة الإرشادية 3 حول المسافة بين شبكة المراحيض ومصادر المياه) ومعيار التخلص من الفضلات العضوية رقم 2 (ص102، الملاحظة الإرشادية 2 حول المراحيض العامة والملاحظة الإرشادية 5 حول المرافق الآمنة والملاحظة الإرشادية 7 حول الماء ومواد النظافة الشرجية والملاحظة الإرشادية 9 حول الحيض والملاحظة الإرشادية 11 حول توفير المراحيض في الأوساط التي تطرح صعوباتٍ).</w:t>
      </w:r>
    </w:p>
    <w:p w14:paraId="20A779EC" w14:textId="77777777" w:rsidR="00CD1BCB" w:rsidRDefault="004E0AFF" w:rsidP="006A0323">
      <w:pPr>
        <w:pStyle w:val="list1"/>
      </w:pPr>
      <w:r w:rsidRPr="00A40A36">
        <w:rPr>
          <w:b/>
          <w:bCs/>
          <w:rtl/>
        </w:rPr>
        <w:lastRenderedPageBreak/>
        <w:t>مبادئ الحماية</w:t>
      </w:r>
      <w:r>
        <w:rPr>
          <w:rtl/>
        </w:rPr>
        <w:t xml:space="preserve">: مبدأ الحماية رقم 1 (ضمان استجابة ملائمة وعدم تعرض الناس للأذى بسبب القيام بعمل أو التقاعس عن القيام به)، ومبدأ </w:t>
      </w:r>
      <w:r w:rsidRPr="006A0323">
        <w:rPr>
          <w:rtl/>
        </w:rPr>
        <w:t>الحماية</w:t>
      </w:r>
      <w:r>
        <w:rPr>
          <w:rtl/>
        </w:rPr>
        <w:t xml:space="preserve"> رقم 2 (ضمان تقديم مساعدةٍ تُلبي احتياجات الجميع، وخاصة الفئات المستضعفة، في هذه الحالة، الأطفال وكبار السن المستضعفين بسبب وقوع الكارثة والمحتاجين إلى الماء لاستئناف العلاج الطبي اللازم على غرار فيروس نقص المناعة البشرية).</w:t>
      </w:r>
    </w:p>
    <w:p w14:paraId="53FD0FF3" w14:textId="77777777" w:rsidR="004E0AFF" w:rsidRPr="00395A92" w:rsidRDefault="00395A92" w:rsidP="00395A92">
      <w:pPr>
        <w:pStyle w:val="Handout2casestudy"/>
        <w:rPr>
          <w:sz w:val="28"/>
        </w:rPr>
      </w:pPr>
      <w:r>
        <w:rPr>
          <w:sz w:val="28"/>
        </w:rPr>
        <w:t>2</w:t>
      </w:r>
      <w:r>
        <w:rPr>
          <w:sz w:val="28"/>
        </w:rPr>
        <w:br/>
      </w:r>
      <w:r w:rsidR="004E0AFF" w:rsidRPr="00CD1BCB">
        <w:rPr>
          <w:rtl/>
        </w:rPr>
        <w:t>أفاد التقدير السريع الذي وقع إجراءه بأن الحكومة تعاني الأمرّين ومغلوبة على أمرها. كما أفاد أن أكثر من 50 بالمئة من المدارس قد تعرّضت لأضرار فادحة مما تسبب حاليا في انقطاعٍ طويل المدى لسير الدروس. كما أن العديد من الأطفال في عدّاد المفقودين. أطلقت وزارة التعليم نداء استغاثة لمساعدتها على إنشاء غرفٍ للتدريس استعدادا للعام الدراسي المقرر أن يبدأ في غضون 10 أيامِ. تجمعكم مع الوزارة علاقة جيدة ومتينة فأردت دعم هذا المقترح إلاّ أن المئات بدؤوا في التوجه نحو المدارس التي لا تزال قائمةً بحثا عن السكن والطعام والعلاج الطبي والماء.</w:t>
      </w:r>
    </w:p>
    <w:p w14:paraId="2E59C67A" w14:textId="77777777" w:rsidR="004E0AFF" w:rsidRDefault="004E0AFF" w:rsidP="004D6CD4">
      <w:pPr>
        <w:pStyle w:val="list1"/>
        <w:numPr>
          <w:ilvl w:val="0"/>
          <w:numId w:val="21"/>
        </w:numPr>
        <w:ind w:left="397" w:hanging="397"/>
      </w:pPr>
      <w:r w:rsidRPr="004D6CD4">
        <w:rPr>
          <w:b/>
          <w:bCs/>
          <w:rtl/>
        </w:rPr>
        <w:t>التزامات المعايير الإنسانية الأساسيّة</w:t>
      </w:r>
      <w:r>
        <w:rPr>
          <w:rtl/>
        </w:rPr>
        <w:t>: الالتزام 1 (1.1، 2.1، 3.1، 4.1، 5.1، 6.1)، الالتزام 2 (1.2، 2.2، 3.2، 6.2)، الالتزام 3 (2.3، 3.3، 5.3، 6.3).</w:t>
      </w:r>
    </w:p>
    <w:p w14:paraId="4520110F" w14:textId="77777777" w:rsidR="004E0AFF" w:rsidRDefault="004E0AFF" w:rsidP="00FB1256">
      <w:pPr>
        <w:pStyle w:val="list2"/>
        <w:numPr>
          <w:ilvl w:val="0"/>
          <w:numId w:val="22"/>
        </w:numPr>
        <w:ind w:left="794" w:hanging="397"/>
      </w:pPr>
      <w:r>
        <w:rPr>
          <w:rtl/>
        </w:rPr>
        <w:t xml:space="preserve">تُؤكد كلّ هذه الالتزامات على أن فهم السياق والاحتياجات الفورية يُعتبر من الأولويات القصوى. لذا يتوجب على المنظمات عدم الانحياز لبرامجها المفضلة والمهارات والموارد والعمل على الاستجابة للحاجة. كما يجب إرسال المنظمات الجاهزة للاستجابة أينما وُجدت ثغرات. يُركز الالتزام 3 على ضرورة العمل في نطاق الخطط المحلية لمواجهة الكوارث (كإخلاء المنازل والاتجاه إلى المدرسة المركزية مثلا) ولكنه يجب العمل على دعم القادة المحليين لوضع استراتيجياتٍ لتجاوز الوضع والانتعاش المبكر للتأكّد من أن الناس يمكنهم العودة إلى منازلهم بأمانٍ مع الأخذ في عين الاعتبار توفر المدارس للأطفال على المدى القصير والطويل. </w:t>
      </w:r>
    </w:p>
    <w:p w14:paraId="7A3B4503" w14:textId="77777777" w:rsidR="004E0AFF" w:rsidRDefault="004E0AFF" w:rsidP="006A0323">
      <w:pPr>
        <w:pStyle w:val="list1"/>
      </w:pPr>
      <w:r w:rsidRPr="00A40A36">
        <w:rPr>
          <w:b/>
          <w:bCs/>
          <w:rtl/>
        </w:rPr>
        <w:t>المعايير الدنيا التقنية</w:t>
      </w:r>
      <w:r>
        <w:rPr>
          <w:rtl/>
        </w:rPr>
        <w:t>: ستكون المعايير الدنيا المتعلقة بالمأوى والمستوطنات البشرية مفيدةً. لذلك ينبغي على الفرق الأخذ بعين الاعتبار معيار المأوى والمستوطنات البشرية رقم 1: التخطيط الاستراتيجي (ص239، الملاحظة الإرشادية 1 و3 و4 و6 و7 و9) ومعيار المأوى والمستوطنات البشرية رقم 3: توفير مساحة مسقوفة للعيش (ص248، الملاحظة الإرشادية 2 و3 و6 و10). تهتم هذه المجموعة في الأساس بدراسة التزامات المعايير الإنسانيّة الأساسيّة المتعلقة بتوفير المساعدة بناءً على الحاجيات وفي الوقت المناسب والتي لا تحلّ محلّ الهياكل القائمة أو يُعرّضها للخطر. كذلك ينبغي إدراج المعايير الدنيا التي تدعم الأنشطة المنقذة للحياة بطرق تعالج فيها القضايا المتشعبة المتعلقة بالجنسانية وكبار السن وذوي الإعاقة. ويمكن للمدرب القبول بأيّ ملاحظاتٍ إرشادية ذات صلةٍ بالمعايير الدنيا اعتمدها الفريق لدعم احتياجات الأطفال عند وقوع الكوارث.</w:t>
      </w:r>
    </w:p>
    <w:p w14:paraId="4ED378C1" w14:textId="77777777" w:rsidR="004E0AFF" w:rsidRDefault="004E0AFF" w:rsidP="006A0323">
      <w:pPr>
        <w:pStyle w:val="list1"/>
      </w:pPr>
      <w:r w:rsidRPr="00A40A36">
        <w:rPr>
          <w:b/>
          <w:bCs/>
          <w:rtl/>
        </w:rPr>
        <w:t>مبادئ الحماية</w:t>
      </w:r>
      <w:r>
        <w:rPr>
          <w:rtl/>
        </w:rPr>
        <w:t xml:space="preserve">: مبدأ الحماية </w:t>
      </w:r>
      <w:r w:rsidRPr="006A0323">
        <w:rPr>
          <w:rtl/>
        </w:rPr>
        <w:t>رقم</w:t>
      </w:r>
      <w:r>
        <w:rPr>
          <w:rtl/>
        </w:rPr>
        <w:t xml:space="preserve">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في هذه الحالة، الأطفال وكبار السن المستضعفين بسبب الكارثة، وأولئك الذين يحتاجون الماء لاستئناف العلاج الطبي اللازم على غرار فيروس نقص المناعة البشرية). ويمكن أيضا إدراج مبدأ الحماية رقم 3 (حماية الناس من الأذى الجسدي والنفسي الناجم عن العنف والإكراه) في عمليات الإجلاء التي يمكن أن تحدّ من الحريات والتي قد تعتبر قسريّة.</w:t>
      </w:r>
    </w:p>
    <w:p w14:paraId="21CC56E9" w14:textId="77777777" w:rsidR="004E0AFF" w:rsidRPr="001D3C99" w:rsidRDefault="003724E0" w:rsidP="00103AD6">
      <w:pPr>
        <w:pStyle w:val="Handout2casestudy"/>
        <w:rPr>
          <w:sz w:val="28"/>
        </w:rPr>
      </w:pPr>
      <w:r w:rsidRPr="003724E0">
        <w:rPr>
          <w:sz w:val="28"/>
        </w:rPr>
        <w:lastRenderedPageBreak/>
        <w:t>3</w:t>
      </w:r>
      <w:r w:rsidR="001D3C99">
        <w:rPr>
          <w:sz w:val="28"/>
        </w:rPr>
        <w:br/>
      </w:r>
      <w:r w:rsidR="004E0AFF" w:rsidRPr="003724E0">
        <w:rPr>
          <w:rtl/>
        </w:rPr>
        <w:t>يبدو أن الاقتصاد المحلي قد تعرض لضربة قوية أطاحت به. يُشكل كل من صيد السمك (الأسواق المحلية والتصديرية) والتعدين وصناعة اللّباس وعمليات تحويل الأموال والسياحة الناشئة العمود الفقري للاقتصاد بساراندا. لذلك من الواضح أنه سيتوجّب على منظمتك العمل على هذه المجالات خلال السنوات القادمة ما سيجعلك ترغب في الاستفادة من بعض البرامج المبتكرة والجديدة التي اعتمدتها منظمتك مؤخرا في حالات طوارئ مماثلة حدثت في منطقة المحيط الهادئ. حصلت على بعض التقدير والنجاح بفضل تقديم منح ٍماليّة لكبار السن والأمهات العازبات في حالات طوارئ مماثلة والتقرير النهائي لازال في طور النشر. ولتزال المقرات الرئيسية تُحفّز بشدة الابداع وتقديم برامج مبتكرة وجديدة أي "الابتكار" في علاقتها العامة حتى الآن.</w:t>
      </w:r>
    </w:p>
    <w:p w14:paraId="372EF778" w14:textId="77777777" w:rsidR="004E0AFF" w:rsidRDefault="004E0AFF" w:rsidP="00FB1256">
      <w:pPr>
        <w:pStyle w:val="list1"/>
        <w:numPr>
          <w:ilvl w:val="0"/>
          <w:numId w:val="23"/>
        </w:numPr>
        <w:ind w:left="397" w:hanging="397"/>
      </w:pPr>
      <w:r w:rsidRPr="00FB1256">
        <w:rPr>
          <w:b/>
          <w:bCs/>
          <w:rtl/>
        </w:rPr>
        <w:t>التزامات المعايير الإنسانية الأساسيّة</w:t>
      </w:r>
      <w:r>
        <w:rPr>
          <w:rtl/>
        </w:rPr>
        <w:t>: الالتزام 1 (2.1، 3.1، 6.1)، الالتزام 2 (1.2، 4.2، 5.2، 7.2)، الالتزام 3 (2.3، 4.3، 5.3، 6.3)، الالتزام 7 (1.7، 2.7، 3.7، 4.7، 5.7، 6.7).</w:t>
      </w:r>
    </w:p>
    <w:p w14:paraId="1FD893BB" w14:textId="77777777" w:rsidR="004E0AFF" w:rsidRDefault="004E0AFF" w:rsidP="00FB1256">
      <w:pPr>
        <w:pStyle w:val="list2"/>
        <w:numPr>
          <w:ilvl w:val="0"/>
          <w:numId w:val="8"/>
        </w:numPr>
        <w:ind w:left="794" w:hanging="397"/>
      </w:pPr>
      <w:r>
        <w:rPr>
          <w:rtl/>
        </w:rPr>
        <w:t xml:space="preserve">يجب على الالتزامات المذكورة التركيز على أهمية تقدير الاحتياجات والاستجابة في الوقت المناسب والتحليل والبرامج المعمّقة وسهولة </w:t>
      </w:r>
      <w:r w:rsidRPr="006A0323">
        <w:rPr>
          <w:rtl/>
        </w:rPr>
        <w:t>التكيف</w:t>
      </w:r>
      <w:r>
        <w:rPr>
          <w:rtl/>
        </w:rPr>
        <w:t xml:space="preserve"> والانتعاش المبكر بالإضافة إلى الحذر عند تطبيق ممارسات جديدة في إطار ثقافة التعلم. </w:t>
      </w:r>
    </w:p>
    <w:p w14:paraId="52A83E4E" w14:textId="77777777" w:rsidR="004E0AFF" w:rsidRDefault="004E0AFF" w:rsidP="003724E0">
      <w:pPr>
        <w:pStyle w:val="list1"/>
      </w:pPr>
      <w:r w:rsidRPr="00FF6682">
        <w:rPr>
          <w:b/>
          <w:bCs/>
          <w:rtl/>
        </w:rPr>
        <w:t>المعايير الدنيا التقنية</w:t>
      </w:r>
      <w:r>
        <w:rPr>
          <w:rtl/>
        </w:rPr>
        <w:t>: تهدف هذه المعايير في الأساس إلى التزامات المعايير الإنسانية الأساسية المتعلقة بتقديم المساعدة بناءً على الاحتياجات وفي الوقت المناسب والتي لا تحلّ محلّ الهياكل القائمة أو يعرضها للخطر. كما أنها لا تلحق ضررا جراء اعتماد ابتكارات لم يقع اختبارها من قبل وأخرى غير لائقةٍ. كذلك ينبغي إدراج المعايير الدنيا التي تدعم أنشطة الانتعاش المبكر (وخاصة المعايير المتعلقة الأمن الغذائي) بطرق تعالج فيها القضايا المتشعبة المتعلقة بالجنسانية وكبار السن وذوي الإعاقة.</w:t>
      </w:r>
    </w:p>
    <w:p w14:paraId="1B6B1A38" w14:textId="77777777" w:rsidR="004E0AFF" w:rsidRDefault="004E0AFF" w:rsidP="003724E0">
      <w:pPr>
        <w:pStyle w:val="list1"/>
      </w:pPr>
      <w:r w:rsidRPr="00FF6682">
        <w:rPr>
          <w:b/>
          <w:bCs/>
          <w:rtl/>
        </w:rPr>
        <w:t>مبادئ الحماية</w:t>
      </w:r>
      <w:r>
        <w:rPr>
          <w:rtl/>
        </w:rPr>
        <w:t xml:space="preserve">: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في هذه الحالة، الأطفال وكبار السن المستضعفين والنازحين وأولئك من الفئات المهمشة). كما يضمن مبدأ الحماية رقم 4 (مساعدة الناس على المطالبة بحقوقهم، والتماس الحلول والتعافي من آثار الانتهاكات) الانتعاش وإعادة التأهيل. </w:t>
      </w:r>
    </w:p>
    <w:p w14:paraId="76D98EB0" w14:textId="77777777" w:rsidR="004E0AFF" w:rsidRPr="001D3C99" w:rsidRDefault="003724E0" w:rsidP="001D3C99">
      <w:pPr>
        <w:pStyle w:val="Handout2casestudy"/>
        <w:rPr>
          <w:sz w:val="28"/>
        </w:rPr>
      </w:pPr>
      <w:r w:rsidRPr="00663E0C">
        <w:rPr>
          <w:sz w:val="28"/>
        </w:rPr>
        <w:t>4</w:t>
      </w:r>
      <w:r w:rsidR="001D3C99">
        <w:rPr>
          <w:sz w:val="28"/>
        </w:rPr>
        <w:br/>
      </w:r>
      <w:r w:rsidR="004E0AFF" w:rsidRPr="003724E0">
        <w:rPr>
          <w:rtl/>
        </w:rPr>
        <w:t>تُصنف الأسماك واللحوم المعلبة والبطاطا من العناصر الغذائية الأساسية في ساراندا.</w:t>
      </w:r>
      <w:r w:rsidRPr="003724E0">
        <w:t xml:space="preserve"> </w:t>
      </w:r>
      <w:r w:rsidR="004E0AFF" w:rsidRPr="003724E0">
        <w:rPr>
          <w:rtl/>
        </w:rPr>
        <w:t xml:space="preserve">ترتفع مستويات سوء التغذية في المناطق الحضرية التي انتشرت بها النظم الغذائية ذات النوعية الرّديئة. وتقوم منظمتك بتوزيع حصص غذائية ذات جودة عالية إثر حالة الطوارئ وكانت الحصة الغذائية في البداية جافة ومن ثم تم تقديم الطعام الساخن إثر الحصول على الطاقة وذلك حسب الأولوية المشار إليها في تقدير الاحتياجات. قمت بالتعاون مع منظمتك بتقديم التماس مبدئي لشحن كميات كافية من الأغذية المخصصة لحالات الطوارئ ووجبات جاهزة للأكل على وجه السرعة وذلك نظرا لدمار الأسواق المحلية. </w:t>
      </w:r>
    </w:p>
    <w:p w14:paraId="1343E68F" w14:textId="77777777" w:rsidR="004E0AFF" w:rsidRDefault="004E0AFF" w:rsidP="00FB1256">
      <w:pPr>
        <w:pStyle w:val="list1"/>
        <w:numPr>
          <w:ilvl w:val="0"/>
          <w:numId w:val="24"/>
        </w:numPr>
        <w:ind w:left="397" w:hanging="397"/>
      </w:pPr>
      <w:r w:rsidRPr="006A0323">
        <w:rPr>
          <w:rtl/>
        </w:rPr>
        <w:lastRenderedPageBreak/>
        <w:t>التزامات</w:t>
      </w:r>
      <w:r w:rsidRPr="00FB1256">
        <w:rPr>
          <w:b/>
          <w:bCs/>
          <w:rtl/>
        </w:rPr>
        <w:t xml:space="preserve"> المعايير الإنسانية الأساسيّة</w:t>
      </w:r>
      <w:r>
        <w:rPr>
          <w:rtl/>
        </w:rPr>
        <w:t>: الالتزام 1 (1.1، 2.1، 3.1، 4.1، 5.1، 6.1)، الالتزام 2 (1.2، 2.2، 4.2، 6.2، 7.2)، الالتزام 3 (1.3، 2.3، 3.3، 4.3، 5.3، 6.3، 7.3)، الالتزام 4 (1.4، 2.4، 3.4، 4.4، 7.4)، الالتزام 5 (1.5، 2.5، 4.5).</w:t>
      </w:r>
      <w:r w:rsidR="00A40A36">
        <w:t xml:space="preserve"> </w:t>
      </w:r>
      <w:r w:rsidR="00A40A36">
        <w:br/>
      </w:r>
      <w:r>
        <w:rPr>
          <w:rtl/>
        </w:rPr>
        <w:t xml:space="preserve">يُعتبر أيضا الالتزام 6 (1.6، 2.6، 3.6، 4.6) ذو صلة، نظرا لتأكيده على التّنسيق مع الجهات الفاعلة الأخرى في قطاع الأغذية، بما في ذلك القطاع الخاص والحكومة المضيفة وقطاعات الاستجابة الإنسانيّة الأخرى مثل الإمداد بالماء والإصحاح والنّهوض بالنظافة والصّحة. </w:t>
      </w:r>
    </w:p>
    <w:p w14:paraId="2EF0AFBA" w14:textId="77777777" w:rsidR="004E0AFF" w:rsidRDefault="004E0AFF" w:rsidP="00FB1256">
      <w:pPr>
        <w:pStyle w:val="list2"/>
        <w:numPr>
          <w:ilvl w:val="0"/>
          <w:numId w:val="10"/>
        </w:numPr>
        <w:ind w:left="794" w:hanging="397"/>
      </w:pPr>
      <w:r>
        <w:rPr>
          <w:rtl/>
        </w:rPr>
        <w:t xml:space="preserve">تُؤكد هذه الالتزامات على الحاجة إلى الفهم الواضح للاحتياجات الأولية لمختلف الفئات في المجتمع المحلي والحاجة إلى </w:t>
      </w:r>
      <w:r w:rsidRPr="006A0323">
        <w:rPr>
          <w:rtl/>
        </w:rPr>
        <w:t>التعامل</w:t>
      </w:r>
      <w:r>
        <w:rPr>
          <w:rtl/>
        </w:rPr>
        <w:t xml:space="preserve"> مع الفئات المستضعفة والفئات الأخرى بهدف ضمان تحقيق الاحتياجات الغذائية للفئات الأكثر عرضةً للخطر بطريقة مناسبة ودون استبدال هياكل الدعم المحلية أو خلق التبعيّة.</w:t>
      </w:r>
    </w:p>
    <w:p w14:paraId="629239C0" w14:textId="77777777" w:rsidR="004E0AFF" w:rsidRDefault="004E0AFF" w:rsidP="00A40A36">
      <w:pPr>
        <w:pStyle w:val="list1"/>
      </w:pPr>
      <w:r w:rsidRPr="00A40A36">
        <w:rPr>
          <w:b/>
          <w:bCs/>
          <w:rtl/>
        </w:rPr>
        <w:t>المعايير الدّنيا التقنية</w:t>
      </w:r>
      <w:r>
        <w:rPr>
          <w:rtl/>
        </w:rPr>
        <w:t>: سيتسنّى للفرق تحديد طريقة التّنفيذ من خلال استخدام المعايير الدنيا المتعلّقة بالأمن الغذائي والتغذية بدمجها مع المعايير الإنسانيّة الأساسيّة. يتوجّب على المجموعات الأخذ في عين الاعتبار معيار تقدير حالة الأمن الغذائي والتغذية رقم 1 (ص144، الملاحظات الإرشادية 1 و2 و3 و5 و7 و8 و9 و10) حيث يضمن استخدام الملاحظة الإرشادية 9 والالتزام 4 التابع للمعايير الإنسانية الأساسية مشاركة المجتمع المحلي في التخطيط لعمليات الاستجابة. كما أن استخدام معيار الأمن الغذائي رقم 1: الأمن الغذائي العام (ص169، الملاحظات الإرشادية 2 و3 و4 و5 و6 و7 و8) مع معيار الأمن الغذائي –توصيل المواد الغذائية رقم 1: المتطلبات الغذائية العامة (ص173، الملاحظات الإرشادية 1 و2 و4 و5 و6 و7 و8) سيدعم التخطيط للنقل الفوري للأغذية ويحددّ نوعيّة الأغذية التي يجب توزيعها من قبل أي طرف ولمن يجب أن تقدم مع أخذ الفئات المستضعفة في عين الاعتبار وضمان معالجة عدد من المواضيع المتشعبة بما في ذلك موضوع البيئة. تكمُن المشاركة أيضا من خلال الأمن الغذائي –معيار توصيل المواد الغذائية رقم 2 (ص177، الملاحظات الإرشادية 1 و4) وسيتطرق هذا المعيار إلى المواضيع المتعلقة بمعايير المعتمدة لقبول الوجبات الجاهزة للأكل والحصص الغذائية الجافة وأيضا الطريقة المتبعة لطهي وإعداد الطعام وتقديمه للناس. سيقوم الأمن الغذائي –معيار توصيل المواد الغذائية رقم 3: جودة المواد الغذائية وسلامتها(ص179) بدعم الالتزامات 2 و3 و5 للمعايير الإنسانية الأساسية والتي تعالج ضعف الأداء وتأثير التدخلات المؤذية والتي تقوم مبادئ الحماية بمعالجتها من ناحية أخرى، ويوفر الأمن الغذائي –معيار توصيل المواد الغذائية رقم 5: استهداف المستفيدين والتوزيع (ص185، الملاحظات الإرشادية 3 و4) الدعم لعملية توزيع المواد الغذائية.</w:t>
      </w:r>
    </w:p>
    <w:p w14:paraId="1EBE6A05" w14:textId="77777777" w:rsidR="004E0AFF" w:rsidRDefault="004E0AFF" w:rsidP="00FF6682">
      <w:pPr>
        <w:pStyle w:val="list1"/>
      </w:pPr>
      <w:r w:rsidRPr="00FF6682">
        <w:rPr>
          <w:b/>
          <w:bCs/>
          <w:rtl/>
        </w:rPr>
        <w:t>مبادئ الحماية</w:t>
      </w:r>
      <w:r>
        <w:rPr>
          <w:rtl/>
        </w:rPr>
        <w:t xml:space="preserve">: مبدأ الحماية رقم 1 (ضمان استجابة ملائمة وعدم تعرض الناس للأذى بسبب القيام العمل أو التقاعس عن القيام به)، ومبدأ الحماية رقم 2 (ضمان تقديم مساعدةٍ تُلبي احتياجات الجميع، وخاصة الفئات المستضعفة). من المرجح وجود آليات للتّصدي للممارسات السلبية حيث تكون الاستجابة غير كافية بما في ذلك سوء المعاملة والاستغلال الجنسي. </w:t>
      </w:r>
    </w:p>
    <w:p w14:paraId="09F6118B" w14:textId="77777777" w:rsidR="004E0AFF" w:rsidRPr="001D3C99" w:rsidRDefault="007578FD" w:rsidP="008F258F">
      <w:pPr>
        <w:pStyle w:val="Handout2casestudy"/>
        <w:rPr>
          <w:sz w:val="28"/>
        </w:rPr>
      </w:pPr>
      <w:r w:rsidRPr="00663E0C">
        <w:rPr>
          <w:sz w:val="28"/>
        </w:rPr>
        <w:lastRenderedPageBreak/>
        <w:t>5</w:t>
      </w:r>
      <w:r w:rsidR="001D3C99">
        <w:rPr>
          <w:sz w:val="28"/>
        </w:rPr>
        <w:br/>
      </w:r>
      <w:r w:rsidR="004E0AFF" w:rsidRPr="007578FD">
        <w:rPr>
          <w:rtl/>
        </w:rPr>
        <w:t>يمرّ النظام الطبي بأزمةٍ. قامت فرق طبّية دولية بالاتصال بوزارة الصحة عن طريق الإدارات الوطنية للصحة الراجعة لها. توجد عدّة فرقٍ طبية مستعدة لبدء عملها في الحال حيث ستتمتع بالاكتفاء الذاتي طيلة فترة إقامتها. بدأ الممرضات والأطباء وطلاب الطب الأجانب بالوفود إلى العاصمة محمّلين بالإمدادات اللازمة. بصفتك خبيرا طبيا بمنظمتك، انتابك قلق بشكلٍ خاص إزاء الكوليرا، إضافة إلى وجود عديد السيناريوهات المحتملة والسلبية فيما يتعلق بمجال الصحة مما جعلك غير متأكد من أين عليك أن تبدأ نظرا إلى هجرة العاملين المحليين في المجال الطبي الأكثر خبرةً.</w:t>
      </w:r>
    </w:p>
    <w:p w14:paraId="400BBF2A" w14:textId="77777777" w:rsidR="004E0AFF" w:rsidRDefault="004E0AFF" w:rsidP="008F258F">
      <w:pPr>
        <w:pStyle w:val="list1"/>
        <w:numPr>
          <w:ilvl w:val="0"/>
          <w:numId w:val="11"/>
        </w:numPr>
        <w:ind w:left="397" w:hanging="397"/>
      </w:pPr>
      <w:r w:rsidRPr="006A0323">
        <w:rPr>
          <w:b/>
          <w:bCs/>
          <w:rtl/>
        </w:rPr>
        <w:t>التزامات المعايير الإنسانية الأساسيّة</w:t>
      </w:r>
      <w:r>
        <w:rPr>
          <w:rtl/>
        </w:rPr>
        <w:t>: الالتزام 1 (1.1، 2.1، 4.1، 6.1)، الالتزام 2 (1.2، 2.2، 3.2، 4.2، 5.2، 6.2، 7.2)، الالتزام 3 (3.3، 4.3، 6.3، 7.3، 8.3)، الالتزام 4 (3.4، 6.4 )، الالتزام 6 (6.1، 2.6، 3.6، 5.6، 6.6)، الالتزام 8 (1.8، 2.8، 3.8، 4.8، 5.8، 7.8، 8.8).</w:t>
      </w:r>
    </w:p>
    <w:p w14:paraId="1DB1748B" w14:textId="77777777" w:rsidR="004E0AFF" w:rsidRDefault="004E0AFF" w:rsidP="008F258F">
      <w:pPr>
        <w:pStyle w:val="list2"/>
        <w:numPr>
          <w:ilvl w:val="0"/>
          <w:numId w:val="12"/>
        </w:numPr>
        <w:ind w:left="794" w:hanging="397"/>
      </w:pPr>
      <w:r>
        <w:rPr>
          <w:rtl/>
        </w:rPr>
        <w:t xml:space="preserve">يكمن الهدف الرئيسي لهذا </w:t>
      </w:r>
      <w:r w:rsidRPr="006A0323">
        <w:rPr>
          <w:rtl/>
        </w:rPr>
        <w:t>السيناريو</w:t>
      </w:r>
      <w:r>
        <w:rPr>
          <w:rtl/>
        </w:rPr>
        <w:t xml:space="preserve"> في تقدير كل من الاحتياجات الصحية للمجتمع المحلي وتحليلها ومدى كفاءة الأنظمة المحلية بالإضافة إلى توظيف المستجيبين حديثي الوصول ومدى كفاءتهم والتناسق فيما بينهم. يُعتبر دعم الكفاءات الصحية المحلية جزءا أساسيا من الاستجابة الصحية حيث ستحتاج الوكالات إلى العمل ضمن الهياكل القائمة بما في ذلك التزود بالأدوية واستيرادها وغالبا ما ستكون الأنظمة هزيلة أو أصبحت ضعيفةً بسبب الأزمة. وينبغي على المجموعات البحث عن سُبلٍ تدعم القدرات بهدف بناء أنظمةٍ مستقبليّة مرنة للأزمات الصحية كما أنه ينبغي عليها معالجة مشكل المعايير التّقنية للممارسين الأجانب ومدى جودة وانسجام الرعاية المقدمة للمتضررين من الأزمة.</w:t>
      </w:r>
    </w:p>
    <w:p w14:paraId="3BD0BA82" w14:textId="77777777" w:rsidR="004E0AFF" w:rsidRDefault="004E0AFF" w:rsidP="006A0323">
      <w:pPr>
        <w:pStyle w:val="list1"/>
      </w:pPr>
      <w:r w:rsidRPr="00663E0C">
        <w:rPr>
          <w:b/>
          <w:bCs/>
          <w:rtl/>
        </w:rPr>
        <w:t>المعايير الدّنيا التقنية</w:t>
      </w:r>
      <w:r>
        <w:rPr>
          <w:rtl/>
        </w:rPr>
        <w:t xml:space="preserve">: ستمنح المعايير الدنيا في مجال العمل الصحي دعما تقنيا كبيرا لهذا السيناريو وخاصة بما يتعلق بالتوظيف والدعم وكل هذا لتعزيز الهياكل الصحية القائمة في البلاد. يُرجى الاطلاع على معيار نُظُم الصحة رقم 1: توفير خدمات الصحة (ص281، الملاحظات الإرشادية 2 و4 و7 و8) ومعيار نُظُم الصحة رقم 2: الموارد البشرية (ص286، </w:t>
      </w:r>
      <w:r w:rsidRPr="006A0323">
        <w:rPr>
          <w:rtl/>
        </w:rPr>
        <w:t>الملاحظات</w:t>
      </w:r>
      <w:r>
        <w:rPr>
          <w:rtl/>
        </w:rPr>
        <w:t xml:space="preserve"> الإرشادية 1 و2) ومعيار نُظُم الصحة رقم 6: القيادة والتنسيق (ص292، الملاحظات الإرشادية 1 و2 و3) ومعيار خدمات الصحة الأساسية رقم 1: ترتيب خدمات الصحة حسب الأولوية (ص 294 الملاحظات الإرشادية 1 و2- يوجد هنا روابط قوية بالالتزامات 1 و2 و3 و4 فيما يتعلق بنوعية الرعاية والخبرة التقنية) وخدمات الصحة الأساسية- معيار مكافحة الأمراض المعدية رقم 1: الوقاية من الأمراض المعدية (ص297، الملاحظات الإرشادية 1) وخدمات الصحة الأساسية- معيار مكافحة الأمراض المعدية رقم 2: الكشف عن حالات تفشي الأمراض ومكافحتها (ص301، الملاحظات الإرشادية 1 و2).</w:t>
      </w:r>
    </w:p>
    <w:p w14:paraId="518FE80A" w14:textId="77777777" w:rsidR="004E0AFF" w:rsidRDefault="004E0AFF" w:rsidP="00663E0C">
      <w:pPr>
        <w:pStyle w:val="list1"/>
      </w:pPr>
      <w:r w:rsidRPr="00663E0C">
        <w:rPr>
          <w:b/>
          <w:bCs/>
          <w:rtl/>
        </w:rPr>
        <w:t>مبادئ الحماية</w:t>
      </w:r>
      <w:r>
        <w:rPr>
          <w:rtl/>
        </w:rPr>
        <w:t>: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 قصد حصولهم على رعاية طبية وعلاجية فعالة من قبل نظام يدعم حاجياتهم بما في ذلك السريّة.</w:t>
      </w:r>
    </w:p>
    <w:p w14:paraId="18C5A72B" w14:textId="77777777" w:rsidR="004E0AFF" w:rsidRPr="001D3C99" w:rsidRDefault="00663E0C" w:rsidP="008F258F">
      <w:pPr>
        <w:pStyle w:val="Handout2casestudy"/>
        <w:rPr>
          <w:sz w:val="28"/>
        </w:rPr>
      </w:pPr>
      <w:r w:rsidRPr="00663E0C">
        <w:rPr>
          <w:sz w:val="28"/>
        </w:rPr>
        <w:lastRenderedPageBreak/>
        <w:t>6</w:t>
      </w:r>
      <w:r w:rsidR="001D3C99">
        <w:rPr>
          <w:sz w:val="28"/>
        </w:rPr>
        <w:br/>
      </w:r>
      <w:r w:rsidR="004E0AFF" w:rsidRPr="00663E0C">
        <w:rPr>
          <w:rtl/>
        </w:rPr>
        <w:t>بدأت منظمة محلية بتوزيع المواد الغذائية الأساسية وحفاضات الأطفال وأغذية مخصصة للرضع والماء في مكان قريبٍ من ضواحي المدينة. توافدت أعداد غفيرة من الناس للحصول على العناصر الأربعة التي وقع توزيعها إلى الآن ولم يسجل وقوع أي حادثٍ. أراد زملاؤك ضمّ جهودهم إلى هاته المنظمة. هل يعتبر هذا تصرّفا ذكيّا؟</w:t>
      </w:r>
    </w:p>
    <w:p w14:paraId="71AAE6CC" w14:textId="77777777" w:rsidR="004E0AFF" w:rsidRDefault="004E0AFF" w:rsidP="008F258F">
      <w:pPr>
        <w:pStyle w:val="list1"/>
        <w:numPr>
          <w:ilvl w:val="0"/>
          <w:numId w:val="13"/>
        </w:numPr>
        <w:ind w:left="397" w:hanging="397"/>
      </w:pPr>
      <w:r>
        <w:rPr>
          <w:rtl/>
        </w:rPr>
        <w:t>التزامات المعايير الإنسانية الأساسيّة: الالتزام 1 (1.1، 2.1، 3.1، 6.1)، الالتزام 2 (1.2، 3.2، 4.2، 5.2، 6.2)، الالتزام 3 (3.1، 3.3، 3.6)، الالتزام 4 (2.4، 3.4، 5.4)، الالتزام 6 (2.6 ، 3.6، 4.6، 6.6)، الالتزام 8 (5.8).</w:t>
      </w:r>
    </w:p>
    <w:p w14:paraId="44651991" w14:textId="77777777" w:rsidR="004E0AFF" w:rsidRDefault="004E0AFF" w:rsidP="008F258F">
      <w:pPr>
        <w:pStyle w:val="list2"/>
        <w:numPr>
          <w:ilvl w:val="0"/>
          <w:numId w:val="14"/>
        </w:numPr>
        <w:ind w:left="794" w:hanging="397"/>
      </w:pPr>
      <w:r>
        <w:rPr>
          <w:rtl/>
        </w:rPr>
        <w:t xml:space="preserve">ينبغي على المجموعات التفكير مليّا في عملية اتخاذ القرار كما ينبغي عليهم ايجاد سبلٍ لمساعدتهم على تحقيق التوازن بين </w:t>
      </w:r>
      <w:r w:rsidRPr="006A0323">
        <w:rPr>
          <w:rtl/>
        </w:rPr>
        <w:t>الاحتياجات</w:t>
      </w:r>
      <w:r>
        <w:rPr>
          <w:rtl/>
        </w:rPr>
        <w:t xml:space="preserve"> من أجل استجابة في الوقت المناسب استنادا على المعلومات المحلية المفيدة، مع مراعاة المخاطر المحتملة والمعروفة التي يتعرض إليها الناس لاسيما الفئات المستضعفة خلال عمليات توزيع المواد الغذائية والسلع. يمكن لمثل هذه العمليات التسبب في خلافات كبيرة داخل المجتمعات وغالبا لا تصل إلى منهم في أشدّ الحاجة إليها.</w:t>
      </w:r>
    </w:p>
    <w:p w14:paraId="7592BA72" w14:textId="77777777" w:rsidR="004E0AFF" w:rsidRDefault="004E0AFF" w:rsidP="002175FF">
      <w:pPr>
        <w:pStyle w:val="list1"/>
      </w:pPr>
      <w:r w:rsidRPr="002175FF">
        <w:rPr>
          <w:b/>
          <w:bCs/>
          <w:rtl/>
        </w:rPr>
        <w:t>المعايير الدّنيا التقنية</w:t>
      </w:r>
      <w:r>
        <w:rPr>
          <w:rtl/>
        </w:rPr>
        <w:t>: ستقوم المعايير الدنيا في مجال الأمن الغذائي واللوازم غير الغذائية بدعم عملية اتخاذ القرار. يقوم كل من الأمن الغذائي- معيار توصيل المواد الغذائية رقم 5: استهداف المستفيدين والتوزيع (ص 185، الملاحظات الإرشادية 1 و3 و4 و5 و6) ومعيار اللوازم غير الغذائية رقم 1: مواد الدعم الشخصي والعائلي والسكني (ص257، الملاحظات الإرشادية 1 و5 و6) بتوفير التوجيهات اللازمة حول طريقة التوزيع الفاعلة والآمنة لمثل هذه المواد وابراز مدى أهمية مبادئ الحماية. وفيما يتعلق بمسألة بدائل لبن الأم فإنه يتم تطبيق المعايير التالية: معيار تغذية الرُّضع وصغار الأطفال رقم 1: التوجيه السياسي والتنسيق (ص151، الملاحظات الإرشادية 1 و2) ومعيار تغذية الرُّضع وصغار الأطفال رقم 2: الدعم الأساسي والمهني (ص153، الملاحظات الإرشادية 2 و4 و5) والأمن الغذائي – معيار توصيل المواد الغذائية رقم 2: توزيع مواد غذائية مناسبة ومقبولة (ص177، الملاحظات الإرشادية 5).</w:t>
      </w:r>
    </w:p>
    <w:p w14:paraId="1907A166"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العمل أو التقاعس عن القيام به)، ومبدأ الحماية رقم 2 (ضمان تقديم مساعدةٍ تُلبي احتياجات الجميع، وخاصة الفئات المستضعفة). يعتبر المبدأ 1 مهمّا فيما يخص قضية بدائل لبن الأمّ والأثار الضارة التي يمكن أن تنجر عن الترويج لها على نطاقٍ واسعٍ.</w:t>
      </w:r>
    </w:p>
    <w:p w14:paraId="54C794CE" w14:textId="77777777" w:rsidR="004E0AFF" w:rsidRPr="001D3C99" w:rsidRDefault="002175FF" w:rsidP="001D3C99">
      <w:pPr>
        <w:pStyle w:val="Handout2casestudy"/>
        <w:rPr>
          <w:sz w:val="28"/>
        </w:rPr>
      </w:pPr>
      <w:r w:rsidRPr="002175FF">
        <w:rPr>
          <w:sz w:val="28"/>
        </w:rPr>
        <w:t>7</w:t>
      </w:r>
      <w:r w:rsidR="001D3C99">
        <w:rPr>
          <w:sz w:val="28"/>
        </w:rPr>
        <w:br/>
      </w:r>
      <w:r w:rsidR="004E0AFF" w:rsidRPr="002175FF">
        <w:rPr>
          <w:rtl/>
        </w:rPr>
        <w:t>يعتبر الجيش التابع لساراندا الملاذ الأول للمنكوبين أثناء الكوارث وفقا لدستور الجمهورية الصادر في 2010. أذاع جنرال من الجيش بيانا باللغة المحلية يطلب فيه من السكان المتضررين التوجه إلى أقرب مدرسة للحصول على المساعدة اللازمة- تمكنت من فهم هذا البيان بما أنك تنتمي لمجموعةٍ عرقيّةٍ تتحدّث هذه اللغة. تشغل منصب المدير القُطري لمنظمة معروفة بالبلاد وتملك خبرة واسعة في توفير المساعدة للفئات المستضعفة بما في ذلك أثناء الكوارث. تُؤكد مبادئ منظّمتك على الحياد وعدم التحيّز والاستقلال. كيف يمكن لاسفير مساعدتك في توطيد علاقتك بالقوات المسلحة في هذه الكارثة؟</w:t>
      </w:r>
    </w:p>
    <w:p w14:paraId="07A47902" w14:textId="77777777" w:rsidR="004E0AFF" w:rsidRDefault="004E0AFF" w:rsidP="004E0AFF">
      <w:r>
        <w:rPr>
          <w:rtl/>
        </w:rPr>
        <w:lastRenderedPageBreak/>
        <w:t>ملاحظات للمدرب: وقع صياغة هذا السيناريو استنادا على الأنشطة العسكرية الحساسة للاستجابة للكوارث في المناطق التي من الشائع فيها مشاركة القوات المسلحة للحكومة المضيفة في الأنشطة الإنسانية وغالبا ما يكونوا منسقين فيما بينهم أو يكونوا مقدمي الملاذ الأول (أي منطقة آسيا المحيط الهادئ) بتفويض رسمي من الدستور. يكمن الهدف من دراسة الحالة المذكورة في حث الفريق على التفكير في التأثير الناتج عن مشاركة القوات المسلحة في إطار ما بعد الأزمة الحساس وخاصة التأثير على المفاهيم المرتبطة بالحياد وعدم التحيّز الموجودة لدى المجتمع المحلي الذي يبحث عن الثقة والقبول والمشاركة.</w:t>
      </w:r>
    </w:p>
    <w:p w14:paraId="4BC2F0DB" w14:textId="77777777" w:rsidR="004E0AFF" w:rsidRDefault="004E0AFF" w:rsidP="008F258F">
      <w:pPr>
        <w:pStyle w:val="list1"/>
        <w:numPr>
          <w:ilvl w:val="0"/>
          <w:numId w:val="15"/>
        </w:numPr>
        <w:ind w:left="397" w:hanging="397"/>
      </w:pPr>
      <w:r w:rsidRPr="006A0323">
        <w:rPr>
          <w:b/>
          <w:bCs/>
          <w:rtl/>
        </w:rPr>
        <w:t>التزامات المعايير الإنسانية الأساسيّة</w:t>
      </w:r>
      <w:r>
        <w:rPr>
          <w:rtl/>
        </w:rPr>
        <w:t>: الالتزام 1 (2.1، 4.1، 5.1)، الالتزام 3 (3.3، 5.3، 6.3، 7.3، 8.3)، الالتزام 4 (2.4، 3.4، 4.4، 6.4)، الالتزام 5 (2.5، 4.5، 7.5) ، الالتزام 6 (6.1).</w:t>
      </w:r>
    </w:p>
    <w:p w14:paraId="109EE511" w14:textId="77777777" w:rsidR="004E0AFF" w:rsidRDefault="004E0AFF" w:rsidP="008F258F">
      <w:pPr>
        <w:pStyle w:val="list2"/>
        <w:numPr>
          <w:ilvl w:val="0"/>
          <w:numId w:val="16"/>
        </w:numPr>
        <w:ind w:left="794" w:hanging="397"/>
      </w:pPr>
      <w:r>
        <w:rPr>
          <w:rtl/>
        </w:rPr>
        <w:t>يتطرق هذا السيناريو إلى قضيتين. تتمحور الأولى حول المساعدة النزيهة – فكما تعلمون تقوم القيادة المحلية وفي هذه الحالة الجيش بتوفير المعلومات للمجتمعات المحلية بلغة واحدةٍ، مما يتسبب في الشعور بالتحيّز والمحاباة. أما القضية الثانية فتتمحور حول الشعور بعدم الحياد أو الاستقلال عند العمل جنبا إلى جنبٍ مع الجيش وخاصة في إطار ما بعد الصراع مثل ساراندا.</w:t>
      </w:r>
    </w:p>
    <w:p w14:paraId="3AC6790B" w14:textId="77777777" w:rsidR="004E0AFF" w:rsidRDefault="004E0AFF" w:rsidP="002175FF">
      <w:pPr>
        <w:pStyle w:val="list1"/>
      </w:pPr>
      <w:r w:rsidRPr="002175FF">
        <w:rPr>
          <w:b/>
          <w:bCs/>
          <w:rtl/>
        </w:rPr>
        <w:t>المعايير الدّنيا التقنية</w:t>
      </w:r>
      <w:r>
        <w:rPr>
          <w:rtl/>
        </w:rPr>
        <w:t>: لا توجد معايير دنيا محددة ترتبط بعملية اتخاذ القرار لهذه المجموعة. وبدلا من ذلك، قم بتشجيعهم على التركيز على القضايا المتعلقة بالإدماج ومشاكل التحيّز وتوطيد العلاقة مع الجيش.</w:t>
      </w:r>
    </w:p>
    <w:p w14:paraId="6B1E79DA"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بعمل أو التقاعس عن القيام به)،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w:t>
      </w:r>
    </w:p>
    <w:p w14:paraId="0B359EC1" w14:textId="77777777" w:rsidR="002175FF" w:rsidRDefault="002175FF" w:rsidP="002175FF"/>
    <w:p w14:paraId="2317FDA6" w14:textId="77777777" w:rsidR="004E0AFF" w:rsidRPr="001D3C99" w:rsidRDefault="002175FF" w:rsidP="001D3C99">
      <w:pPr>
        <w:pStyle w:val="Handout2casestudy"/>
        <w:rPr>
          <w:sz w:val="28"/>
        </w:rPr>
      </w:pPr>
      <w:r w:rsidRPr="002175FF">
        <w:rPr>
          <w:sz w:val="28"/>
        </w:rPr>
        <w:t>8</w:t>
      </w:r>
      <w:r w:rsidR="001D3C99">
        <w:rPr>
          <w:sz w:val="28"/>
        </w:rPr>
        <w:br/>
      </w:r>
      <w:r w:rsidR="004E0AFF" w:rsidRPr="002175FF">
        <w:rPr>
          <w:rtl/>
        </w:rPr>
        <w:t>تملك منظمتك مخزونا احتياطيا من 5,000 طردا في العاصمة، يحتوي على صابون وأقراص تنقية المياه ومواقد وخيام وبطانيات وناموسيات ويمكنها الحصول على المزيد حالما يتم الإعلان عن عودة نسق العمل بالميناء والمطار. قُمت بإرسال زميل لك للقيام بتقدير سريعٍ ومشتركٍ للاحتياجات لتحديد مدى الحاجة ولن تكون النتائج متوفّرة إلا بعد ثلاثة أيامٍ على الأقل، وقد بدأت وسائل الإعلام المحلية بنشر قصص حول "الاستجابة المتأخرة". فقام القادة المحليّون بزيارة مكتبك طلبا للمساعدة وقام بعضهم بإحضار الهدايا وطلب آخرون توزيع مواد يمكن لمنظمتك جلبها. كما أخبرتك عائلتك وجيرانك (بما أنك من ساراندا) أن الناس بدأوا يشعرون بخيبة الأمل من عدم توفر المساعدة.</w:t>
      </w:r>
    </w:p>
    <w:p w14:paraId="6A6A913C" w14:textId="77777777" w:rsidR="004E0AFF" w:rsidRDefault="004E0AFF" w:rsidP="008F258F">
      <w:pPr>
        <w:pStyle w:val="list1"/>
        <w:numPr>
          <w:ilvl w:val="0"/>
          <w:numId w:val="17"/>
        </w:numPr>
        <w:ind w:left="397" w:hanging="397"/>
      </w:pPr>
      <w:r w:rsidRPr="006A0323">
        <w:rPr>
          <w:b/>
          <w:bCs/>
          <w:rtl/>
        </w:rPr>
        <w:t>التزامات المعايير الإنسانية الأساسيّة</w:t>
      </w:r>
      <w:r>
        <w:rPr>
          <w:rtl/>
        </w:rPr>
        <w:t>: التزام 1 (1.1، 3.1، 4.1، 6.1)، التزام 2 (1.2، 2،2، 4.2)، الالتزام 3 (1.3، 3.3، 4.3، 5.3، 6.3، 7.3)، الالتزام 4 (1.4، 2.4، 3.4، 4.4، 5.4)، الالتزام 5 (1.5، 2.5، 3.5، 5.5). الالتزام 6 (2.6، 4.6).</w:t>
      </w:r>
    </w:p>
    <w:p w14:paraId="15529306" w14:textId="77777777" w:rsidR="004E0AFF" w:rsidRDefault="004E0AFF" w:rsidP="008F258F">
      <w:pPr>
        <w:pStyle w:val="list2"/>
        <w:numPr>
          <w:ilvl w:val="0"/>
          <w:numId w:val="18"/>
        </w:numPr>
        <w:ind w:left="794" w:hanging="397"/>
      </w:pPr>
      <w:r>
        <w:rPr>
          <w:rtl/>
        </w:rPr>
        <w:lastRenderedPageBreak/>
        <w:t>تتمحور القضايا الرئيسية التي يجب أخذها في عين الاعتبار حول التوازن بين الاستجابة الملائمة والمبكرة لإنقاذ حياة الأشخاص (على أساس غياب تحليل مفصل للبيانات الصلبة) والحاجة إلى إدارة توقعات المجتمع المحلي. ينبغي على المجموعات التي تهتمّ بمناقشة هذا السيناريو إيجاد حالة لممارسة العمل الإنساني أو الانتظار. تتعلق بعض القضايا التي قد يتم التطرق إليها سواءً بتوفّر مخزونٍ كاف لتوزيع البطانيات أو التوزيع الموجه للفئات المستضعفة والذي قد يستغرق وقتا لتحديدها مما قد يجعلهم عرضة لمزيد من الأذى. تتمثل الاعتبارات الأخرى في جودة وتناسق المواد وأيضا في التصدّع الذي يمكن أن يحدث داخل المجتمع سواءً في بلد يشهد مرحلة حساسة لما بعد الصراع مثل ساراندا أو جراء التوزيع غير العدل أو المتأخر للسلع. يُعتبر إشراك المجتمع والاندماج العميق في التخطيط للاستجابة أمرا حيويّا كتبادل المعلومات بشأن المخططات ووضع آليات قويةٍ للشكاوى وذات مصداقية. يتمحور الاعتبار الثالث حول الحاجة لتنسيق توزيع المواد غير الغذائية مع القطاعات الأخرى وخاصة أن توزيع (أو نقص) المواد المرتبطة بالإمداد بالماء والإصحاح والنهوض بالنظافة (الصابون وحنفيات المياه) والصحة (الناموسيات) والمأوى (مواقد والبطانيات وغيرها) سيُؤثر على النتائج في تلك المجالات القطاعيّة.</w:t>
      </w:r>
    </w:p>
    <w:p w14:paraId="1BDF1A0F" w14:textId="77777777" w:rsidR="004E0AFF" w:rsidRDefault="004E0AFF" w:rsidP="002175FF">
      <w:pPr>
        <w:pStyle w:val="list1"/>
      </w:pPr>
      <w:r w:rsidRPr="002175FF">
        <w:rPr>
          <w:b/>
          <w:bCs/>
          <w:rtl/>
        </w:rPr>
        <w:t>المعايير التقنية الدّنيا</w:t>
      </w:r>
      <w:r>
        <w:rPr>
          <w:rtl/>
        </w:rPr>
        <w:t>: ينبغي على المجموعة الأخذ في عين الاعتبار نوعيّة الاستجابة المتعلقة بالمستوطنات استنادا إلى مستوى النزوح والمواد غير الموجودة في المخزون الحالي. يمكن اعتماد المعايير الدنيا المتعلقة بمعيار اللوازم غير الغذائية رقم 1: مواد الدعم الشخصي والعائلي والسكني (ص257، الملاحظات الإرشادية 1 و3 و4 و5 و6 و7) ومعيار اللوازم غير الغذائية رقم 2: الملابس والأفرشة (ص259، الملاحظات الإرشادية من 1 إلى5) ومعيار اللوازم غير الغذائية رقم 3: أواني الطهي ولوازم تناول الطعام (ص261، الملاحظات الإرشادية 1 و2) ومعيار اللوازم غير الغذائية رقم 4: الموقد والوقود والإنارة (ص262، الملاحظات الإرشادية 1 و3).</w:t>
      </w:r>
    </w:p>
    <w:p w14:paraId="58F772DC" w14:textId="77777777" w:rsidR="004E0AFF" w:rsidRDefault="004E0AFF" w:rsidP="002175FF">
      <w:pPr>
        <w:pStyle w:val="list1"/>
      </w:pPr>
      <w:r w:rsidRPr="002175FF">
        <w:rPr>
          <w:b/>
          <w:bCs/>
          <w:rtl/>
        </w:rPr>
        <w:t>مبادئ الحماية</w:t>
      </w:r>
      <w:r>
        <w:rPr>
          <w:rtl/>
        </w:rPr>
        <w:t>: مبدأ الحماية رقم 1 (ضمان استجابة ملائمة وعدم تعرض الناس للأذى بسبب القيام العمل أو التقاعس عن القيام به) – يعتبر هذا مهمّا خاصة عند التفكير في الآثار الناتجة سواءً عن التوزيع غير العادل أو التراخي. كما أنه هذا المبدأ يؤكد على ضرورة الأخذ في عين الاعتبار إمكانية التعرض للخطر جراء بعض المواد ولاسيما المواقد والبطانيات والتي قد تتسبب في اندلاع الحرائق ومخاطر إصابة الجهاز التنفسي. ومبدأ الحماية رقم 2 (ضمان تقديم مساعدةٍ تُلبي احتياجات الجميع، وخاصة الفئات المستضعفة). يعمل مبدأ الحماية رقم 4 (مساعدة الناس على المطالبة بحقوقهم، والتماس الحلول والتعافي من آثار الانتهاكات) على الإحاطة بحقوق الأشخاص المتضررين من سوء المعاملة والإهمال والأذى.</w:t>
      </w:r>
    </w:p>
    <w:p w14:paraId="27FE51B7" w14:textId="77777777" w:rsidR="004E0AFF" w:rsidRPr="001D3C99" w:rsidRDefault="00787D2B" w:rsidP="001D3C99">
      <w:pPr>
        <w:pStyle w:val="Handout2casestudy"/>
        <w:rPr>
          <w:sz w:val="28"/>
        </w:rPr>
      </w:pPr>
      <w:r w:rsidRPr="00787D2B">
        <w:rPr>
          <w:sz w:val="28"/>
        </w:rPr>
        <w:t>9</w:t>
      </w:r>
      <w:r w:rsidR="001D3C99">
        <w:rPr>
          <w:sz w:val="28"/>
        </w:rPr>
        <w:br/>
      </w:r>
      <w:r w:rsidR="004E0AFF" w:rsidRPr="00787D2B">
        <w:rPr>
          <w:rtl/>
        </w:rPr>
        <w:t xml:space="preserve">بعد أن قامت منظمتك بتقدير مشتركٍ وسريع للاحتياجات، تبين من خلال تحليل البيانات أن أشد الاحتياجات موجودة بالأساس في ثاني أكبر مدينة بساراندا، دالفيا وبعض مراكزها الريفيّة الكبيرة. وتشير التقارير المُتعلّقة بالمخزون توفّر 5,000 طقما من المواد غير الغذائية و2,000 وحدة مأوى لحالات الطوارئ في المخازن الموجودة بمقاطعتك. ولكن عند وصولك إلى هناك، اكتشفت وجود مقدار قليل من المخزون وأنّ ما تبقى قد وقع سلبه. كما أن نوعيّة ما تبقى رديء للغاية حيث لا يمكنك توزيعه. نفى المدير الإقليمي لمنظمتك وهو نجل قائد الشرطة المحلية ارتكابه لأيّ مخالفةٍ وادّعى أن المستودع قد تعرض للسّلب. ولكن حسب رأيك من الواضح قد وقع تسريب السلع وإدارة المستودع بطريقة سيئةٍ. قمت برفع قضايا ضده مما دفعه لتهديدك بتحريض المجتمع المحلي لمنع منظمتك من الوصول إلى المقاطعة. </w:t>
      </w:r>
    </w:p>
    <w:p w14:paraId="6291B39E" w14:textId="77777777" w:rsidR="004E0AFF" w:rsidRDefault="004E0AFF" w:rsidP="008F258F">
      <w:pPr>
        <w:pStyle w:val="list1"/>
        <w:numPr>
          <w:ilvl w:val="0"/>
          <w:numId w:val="25"/>
        </w:numPr>
        <w:ind w:left="397" w:hanging="397"/>
      </w:pPr>
      <w:r w:rsidRPr="008F258F">
        <w:rPr>
          <w:b/>
          <w:bCs/>
          <w:rtl/>
        </w:rPr>
        <w:lastRenderedPageBreak/>
        <w:t xml:space="preserve">التزامات </w:t>
      </w:r>
      <w:r w:rsidRPr="006A0323">
        <w:rPr>
          <w:rtl/>
        </w:rPr>
        <w:t>المعايير</w:t>
      </w:r>
      <w:r w:rsidRPr="008F258F">
        <w:rPr>
          <w:b/>
          <w:bCs/>
          <w:rtl/>
        </w:rPr>
        <w:t xml:space="preserve"> الإنسانية الأساسيّة</w:t>
      </w:r>
      <w:r>
        <w:rPr>
          <w:rtl/>
        </w:rPr>
        <w:t>: الالتزام 8 (1.8، 2.8، 4.8، 7.8)، التزام 9 (1.9، 2.9، 3.9، 5.9، 6.9)</w:t>
      </w:r>
    </w:p>
    <w:p w14:paraId="0AA4A1F2" w14:textId="77777777" w:rsidR="004E0AFF" w:rsidRDefault="004E0AFF" w:rsidP="008F258F">
      <w:pPr>
        <w:pStyle w:val="list2"/>
        <w:numPr>
          <w:ilvl w:val="0"/>
          <w:numId w:val="20"/>
        </w:numPr>
        <w:ind w:left="794" w:hanging="397"/>
      </w:pPr>
      <w:r>
        <w:rPr>
          <w:rtl/>
        </w:rPr>
        <w:t xml:space="preserve">تتمحور </w:t>
      </w:r>
      <w:r w:rsidRPr="006A0323">
        <w:rPr>
          <w:rtl/>
        </w:rPr>
        <w:t>القضايا</w:t>
      </w:r>
      <w:r>
        <w:rPr>
          <w:rtl/>
        </w:rPr>
        <w:t xml:space="preserve"> الرئيسية حول توظيف عاملين أكفّاء ودعمهم لإنجاز عملهم بطريقة فعالة وأيضا حول قضية الفساد في أماكن العمل.</w:t>
      </w:r>
    </w:p>
    <w:p w14:paraId="68E589D1" w14:textId="77777777" w:rsidR="004E0AFF" w:rsidRDefault="004E0AFF" w:rsidP="00787D2B">
      <w:pPr>
        <w:pStyle w:val="list2"/>
      </w:pPr>
      <w:r>
        <w:rPr>
          <w:rtl/>
        </w:rPr>
        <w:t xml:space="preserve">ينبغي على الفرق التي تهتم بمناقشة هذا السيناريو أن تقرر إذا ما كانت المنظمة على خطأ وما إذا كان يجب دعم العاملين بدلا من معاقبتهم وما إذا كان التهديد بتحريض المجتمع المحلي حقيقيا. </w:t>
      </w:r>
    </w:p>
    <w:p w14:paraId="48E50D03" w14:textId="77777777" w:rsidR="004E0AFF" w:rsidRDefault="004E0AFF" w:rsidP="00787D2B">
      <w:pPr>
        <w:pStyle w:val="list1"/>
      </w:pPr>
      <w:r>
        <w:rPr>
          <w:rtl/>
        </w:rPr>
        <w:t>ينبغي مراجعة المعايير الدنيا المتعلقة بالمأوى والمواد غير الغذائية لتحديد أيّ من المعايير المناسبة تتعلق بالجودة والموافقة على السلع.</w:t>
      </w:r>
    </w:p>
    <w:p w14:paraId="1631101F" w14:textId="77777777" w:rsidR="004E0AFF" w:rsidRDefault="004E0AFF" w:rsidP="00BE5E0B">
      <w:pPr>
        <w:pStyle w:val="list1"/>
        <w:ind w:right="-284"/>
      </w:pPr>
      <w:r>
        <w:rPr>
          <w:rtl/>
        </w:rPr>
        <w:t>مبادئ الحماية: يتم هنا تطبيق مبدأ الحماية رقم 2 (ضمان تقديم مساعدةٍ تُلبي احتياجات الجميع، وخاصة الفئات المستضعفة) لكسب النفوذ من خلال التفاوض مع العاملين حول حقّ السكان المتضررين في الحصول على المساعدة واقصاءهم من خطة المنظمة.</w:t>
      </w:r>
    </w:p>
    <w:p w14:paraId="73443B8B" w14:textId="77777777" w:rsidR="004E0AFF" w:rsidRDefault="004E0AFF" w:rsidP="008F258F">
      <w:pPr>
        <w:pStyle w:val="bullet"/>
        <w:ind w:left="794" w:hanging="397"/>
      </w:pPr>
      <w:r>
        <w:rPr>
          <w:rtl/>
        </w:rPr>
        <w:t>مبدأ الحماية رقم 3 (حماية الناس من الأذى الجسدي والنفسي الناجم عن العنف والإكراه). في هذه الحالة، يحدث العنف والإكراه من خلال ممارسات الموظفين وتأثيرهم المحلي والذي يهدّد بإحداث ضررٍ بشكلٍ غير مباشرٍ لمجتمعهم بهدف حماية أنفسهم. اطّلع على الملاحظة الإرشاديّة 6.</w:t>
      </w:r>
    </w:p>
    <w:p w14:paraId="1BAD2BE0" w14:textId="77777777" w:rsidR="004E0AFF" w:rsidRPr="004406D7" w:rsidRDefault="004E0AFF" w:rsidP="008F258F">
      <w:pPr>
        <w:pStyle w:val="bullet"/>
        <w:ind w:left="794" w:right="-284" w:hanging="397"/>
      </w:pPr>
      <w:r>
        <w:rPr>
          <w:rtl/>
        </w:rPr>
        <w:t>يُغطي مبدأ الحماية رقم 4 (مساعدة الناس على المطالبة بحقوقهم، والتماس الحلول والتعافي من آثار الانتهاكات)، تحديدا الملاحظتين الإرشاديّتين 2 و3، القضايا المتعلقة بالعلاقات المجتمعية المتينة بهدف الحدّ من التهديد المنجرّ عن معادات الموظفين.</w:t>
      </w:r>
    </w:p>
    <w:p w14:paraId="5D78E4E6" w14:textId="77777777" w:rsidR="009C143C" w:rsidRDefault="009C143C" w:rsidP="001778A8"/>
    <w:p w14:paraId="01F23210" w14:textId="77777777" w:rsidR="00574896" w:rsidRDefault="00574896" w:rsidP="001778A8">
      <w:pPr>
        <w:rPr>
          <w:rtl/>
        </w:rPr>
        <w:sectPr w:rsidR="00574896" w:rsidSect="007222FF">
          <w:headerReference w:type="default" r:id="rId8"/>
          <w:footerReference w:type="default" r:id="rId9"/>
          <w:headerReference w:type="first" r:id="rId10"/>
          <w:footerReference w:type="first" r:id="rId11"/>
          <w:pgSz w:w="11906" w:h="16838" w:code="9"/>
          <w:pgMar w:top="1418" w:right="1247" w:bottom="1021" w:left="1247" w:header="709" w:footer="454" w:gutter="0"/>
          <w:cols w:space="720"/>
          <w:titlePg/>
          <w:docGrid w:linePitch="360"/>
        </w:sectPr>
      </w:pPr>
    </w:p>
    <w:p w14:paraId="43772F82" w14:textId="77777777" w:rsidR="006D65BB" w:rsidRPr="006D65BB" w:rsidRDefault="006D65BB" w:rsidP="006D65BB">
      <w:pPr>
        <w:pStyle w:val="Heading3"/>
        <w:rPr>
          <w:sz w:val="36"/>
          <w:rtl/>
        </w:rPr>
      </w:pPr>
      <w:r w:rsidRPr="006D65BB">
        <w:rPr>
          <w:sz w:val="36"/>
          <w:rtl/>
        </w:rPr>
        <w:lastRenderedPageBreak/>
        <w:t xml:space="preserve">المادة التدريبية عدد </w:t>
      </w:r>
      <w:r w:rsidRPr="006D65BB">
        <w:rPr>
          <w:sz w:val="36"/>
        </w:rPr>
        <w:t>3</w:t>
      </w:r>
    </w:p>
    <w:p w14:paraId="1E3D2475" w14:textId="24BC3C3E" w:rsidR="000241C2" w:rsidRPr="007C6E2B" w:rsidRDefault="000241C2" w:rsidP="000241C2">
      <w:pPr>
        <w:spacing w:after="160"/>
        <w:rPr>
          <w:rFonts w:eastAsia="Traditional Arabic"/>
          <w:b/>
          <w:bCs/>
          <w:color w:val="004386" w:themeColor="text2"/>
          <w:kern w:val="32"/>
          <w:sz w:val="28"/>
        </w:rPr>
      </w:pPr>
      <w:r w:rsidRPr="007C6E2B">
        <w:rPr>
          <w:rFonts w:eastAsia="Traditional Arabic" w:hint="cs"/>
          <w:b/>
          <w:bCs/>
          <w:color w:val="004386" w:themeColor="text2"/>
          <w:kern w:val="32"/>
          <w:sz w:val="28"/>
          <w:rtl/>
        </w:rPr>
        <w:t>اختياري.</w:t>
      </w:r>
      <w:r w:rsidR="00D251A7" w:rsidRPr="007C6E2B">
        <w:rPr>
          <w:rFonts w:eastAsia="Traditional Arabic" w:hint="cs"/>
          <w:b/>
          <w:bCs/>
          <w:color w:val="004386" w:themeColor="text2"/>
          <w:kern w:val="32"/>
          <w:sz w:val="28"/>
          <w:rtl/>
        </w:rPr>
        <w:t xml:space="preserve"> قم بقص البطاقات الموجودة أدناه</w:t>
      </w:r>
      <w:r w:rsidRPr="007C6E2B">
        <w:rPr>
          <w:rFonts w:eastAsia="Traditional Arabic" w:hint="cs"/>
          <w:b/>
          <w:bCs/>
          <w:color w:val="004386" w:themeColor="text2"/>
          <w:kern w:val="32"/>
          <w:sz w:val="28"/>
          <w:rtl/>
        </w:rPr>
        <w:t xml:space="preserve">، </w:t>
      </w:r>
      <w:r w:rsidR="00D251A7" w:rsidRPr="007C6E2B">
        <w:rPr>
          <w:rFonts w:eastAsia="Traditional Arabic" w:hint="cs"/>
          <w:b/>
          <w:bCs/>
          <w:color w:val="004386" w:themeColor="text2"/>
          <w:kern w:val="32"/>
          <w:sz w:val="28"/>
          <w:rtl/>
        </w:rPr>
        <w:t>وجمعها في مجموعات وضع كل مجموعة على طاولة.</w:t>
      </w:r>
    </w:p>
    <w:tbl>
      <w:tblPr>
        <w:bidiVisual/>
        <w:tblW w:w="14601" w:type="dxa"/>
        <w:jc w:val="right"/>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13" w:type="dxa"/>
          <w:left w:w="170" w:type="dxa"/>
          <w:bottom w:w="113" w:type="dxa"/>
          <w:right w:w="170" w:type="dxa"/>
        </w:tblCellMar>
        <w:tblLook w:val="04A0" w:firstRow="1" w:lastRow="0" w:firstColumn="1" w:lastColumn="0" w:noHBand="0" w:noVBand="1"/>
      </w:tblPr>
      <w:tblGrid>
        <w:gridCol w:w="2920"/>
        <w:gridCol w:w="2920"/>
        <w:gridCol w:w="2920"/>
        <w:gridCol w:w="2920"/>
        <w:gridCol w:w="2921"/>
      </w:tblGrid>
      <w:tr w:rsidR="00B37603" w:rsidRPr="001778A8" w14:paraId="56548DB9" w14:textId="77777777" w:rsidTr="006D65BB">
        <w:trPr>
          <w:cantSplit/>
          <w:jc w:val="right"/>
        </w:trPr>
        <w:tc>
          <w:tcPr>
            <w:tcW w:w="2920" w:type="dxa"/>
          </w:tcPr>
          <w:p w14:paraId="48BEE7D8" w14:textId="77777777" w:rsidR="00B37603" w:rsidRPr="00C73E2D" w:rsidRDefault="00B37603" w:rsidP="0092779E">
            <w:pPr>
              <w:pStyle w:val="table"/>
              <w:spacing w:before="80" w:after="80" w:line="216" w:lineRule="auto"/>
              <w:rPr>
                <w:b/>
                <w:bCs/>
              </w:rPr>
            </w:pPr>
            <w:r w:rsidRPr="00C73E2D">
              <w:rPr>
                <w:b/>
                <w:bCs/>
                <w:rtl/>
              </w:rPr>
              <w:t xml:space="preserve">المعيار الأساسي </w:t>
            </w:r>
            <w:r w:rsidR="0092779E" w:rsidRPr="00C73E2D">
              <w:rPr>
                <w:b/>
                <w:bCs/>
              </w:rPr>
              <w:t>6</w:t>
            </w:r>
          </w:p>
          <w:p w14:paraId="5ED11ECF" w14:textId="79094898" w:rsidR="00B37603" w:rsidRPr="00C73E2D" w:rsidRDefault="003C3CE2" w:rsidP="006D65BB">
            <w:pPr>
              <w:pStyle w:val="table"/>
              <w:spacing w:before="80" w:after="80" w:line="216" w:lineRule="auto"/>
            </w:pPr>
            <w:r>
              <w:rPr>
                <w:rFonts w:hint="cs"/>
                <w:rtl/>
              </w:rPr>
              <w:t>أ</w:t>
            </w:r>
            <w:r w:rsidR="00B37603" w:rsidRPr="00C73E2D">
              <w:rPr>
                <w:rtl/>
              </w:rPr>
              <w:t>داء العاملين في مجال المعونة</w:t>
            </w:r>
          </w:p>
        </w:tc>
        <w:tc>
          <w:tcPr>
            <w:tcW w:w="2920" w:type="dxa"/>
          </w:tcPr>
          <w:p w14:paraId="1797E722" w14:textId="77777777" w:rsidR="006D65BB" w:rsidRPr="00C73E2D" w:rsidRDefault="00B37603" w:rsidP="0092779E">
            <w:pPr>
              <w:pStyle w:val="table"/>
              <w:spacing w:before="80" w:after="80" w:line="216" w:lineRule="auto"/>
              <w:rPr>
                <w:b/>
                <w:bCs/>
              </w:rPr>
            </w:pPr>
            <w:r w:rsidRPr="00C73E2D">
              <w:rPr>
                <w:b/>
                <w:bCs/>
                <w:rtl/>
              </w:rPr>
              <w:t xml:space="preserve">  المعيار الأساسي </w:t>
            </w:r>
            <w:r w:rsidR="0092779E" w:rsidRPr="00C73E2D">
              <w:rPr>
                <w:b/>
                <w:bCs/>
              </w:rPr>
              <w:t>5</w:t>
            </w:r>
          </w:p>
          <w:p w14:paraId="398AC776" w14:textId="77777777" w:rsidR="00B37603" w:rsidRPr="00C73E2D" w:rsidRDefault="0092779E" w:rsidP="006D65BB">
            <w:pPr>
              <w:pStyle w:val="table"/>
              <w:spacing w:before="80" w:after="80" w:line="216" w:lineRule="auto"/>
            </w:pPr>
            <w:r w:rsidRPr="00C73E2D">
              <w:t xml:space="preserve"> </w:t>
            </w:r>
            <w:r w:rsidRPr="00C73E2D">
              <w:rPr>
                <w:rtl/>
              </w:rPr>
              <w:t xml:space="preserve">الأداء </w:t>
            </w:r>
            <w:r w:rsidR="00B37603" w:rsidRPr="00C73E2D">
              <w:rPr>
                <w:rtl/>
              </w:rPr>
              <w:t>والشفافية والتعلم</w:t>
            </w:r>
          </w:p>
        </w:tc>
        <w:tc>
          <w:tcPr>
            <w:tcW w:w="2920" w:type="dxa"/>
          </w:tcPr>
          <w:p w14:paraId="1C12D7FB" w14:textId="77777777" w:rsidR="00B37603" w:rsidRPr="00C73E2D" w:rsidRDefault="00B37603" w:rsidP="0092779E">
            <w:pPr>
              <w:pStyle w:val="table"/>
              <w:spacing w:before="80" w:after="80" w:line="216" w:lineRule="auto"/>
              <w:rPr>
                <w:b/>
                <w:bCs/>
              </w:rPr>
            </w:pPr>
            <w:r w:rsidRPr="00C73E2D">
              <w:rPr>
                <w:b/>
                <w:bCs/>
                <w:rtl/>
              </w:rPr>
              <w:t xml:space="preserve">  المعيار الأساسي</w:t>
            </w:r>
            <w:r w:rsidR="0092779E" w:rsidRPr="00C73E2D">
              <w:rPr>
                <w:b/>
                <w:bCs/>
              </w:rPr>
              <w:t>4</w:t>
            </w:r>
            <w:bookmarkStart w:id="0" w:name="_GoBack"/>
            <w:bookmarkEnd w:id="0"/>
          </w:p>
          <w:p w14:paraId="19F4710F" w14:textId="77777777" w:rsidR="00B37603" w:rsidRPr="00C73E2D" w:rsidRDefault="00B37603" w:rsidP="006D65BB">
            <w:pPr>
              <w:pStyle w:val="table"/>
              <w:spacing w:before="80" w:after="80" w:line="216" w:lineRule="auto"/>
            </w:pPr>
            <w:r w:rsidRPr="00C73E2D">
              <w:rPr>
                <w:rtl/>
              </w:rPr>
              <w:t>التصميم والاستجابة</w:t>
            </w:r>
          </w:p>
        </w:tc>
        <w:tc>
          <w:tcPr>
            <w:tcW w:w="2920" w:type="dxa"/>
          </w:tcPr>
          <w:p w14:paraId="51A1FAC1" w14:textId="77777777" w:rsidR="00B37603" w:rsidRPr="00C73E2D" w:rsidRDefault="00DD3066" w:rsidP="00DD3066">
            <w:pPr>
              <w:pStyle w:val="table"/>
              <w:spacing w:before="80" w:after="80" w:line="216" w:lineRule="auto"/>
              <w:rPr>
                <w:b/>
                <w:bCs/>
              </w:rPr>
            </w:pPr>
            <w:r w:rsidRPr="00C73E2D">
              <w:rPr>
                <w:b/>
                <w:bCs/>
                <w:rtl/>
              </w:rPr>
              <w:t>المعيار الأساسي</w:t>
            </w:r>
            <w:r w:rsidRPr="00C73E2D">
              <w:rPr>
                <w:b/>
                <w:bCs/>
              </w:rPr>
              <w:t xml:space="preserve"> 3 </w:t>
            </w:r>
            <w:r w:rsidR="00B37603" w:rsidRPr="00C73E2D">
              <w:rPr>
                <w:b/>
                <w:bCs/>
                <w:rtl/>
              </w:rPr>
              <w:t xml:space="preserve">  </w:t>
            </w:r>
          </w:p>
          <w:p w14:paraId="4E1DA1B1" w14:textId="77777777" w:rsidR="00B37603" w:rsidRPr="00C73E2D" w:rsidRDefault="00B37603" w:rsidP="006D65BB">
            <w:pPr>
              <w:pStyle w:val="table"/>
              <w:spacing w:before="80" w:after="80" w:line="216" w:lineRule="auto"/>
            </w:pPr>
            <w:r w:rsidRPr="00C73E2D">
              <w:rPr>
                <w:rtl/>
              </w:rPr>
              <w:t>التقدير</w:t>
            </w:r>
          </w:p>
        </w:tc>
        <w:tc>
          <w:tcPr>
            <w:tcW w:w="2921" w:type="dxa"/>
          </w:tcPr>
          <w:p w14:paraId="61D0EC80" w14:textId="77777777" w:rsidR="00B37603" w:rsidRPr="00C73E2D" w:rsidRDefault="00B37603" w:rsidP="0092779E">
            <w:pPr>
              <w:pStyle w:val="table"/>
              <w:spacing w:before="80" w:after="80" w:line="216" w:lineRule="auto"/>
              <w:rPr>
                <w:b/>
                <w:bCs/>
              </w:rPr>
            </w:pPr>
            <w:r w:rsidRPr="00C73E2D">
              <w:rPr>
                <w:b/>
                <w:bCs/>
                <w:rtl/>
              </w:rPr>
              <w:t xml:space="preserve">المعيار الأساسي </w:t>
            </w:r>
            <w:r w:rsidR="0092779E" w:rsidRPr="00C73E2D">
              <w:rPr>
                <w:b/>
                <w:bCs/>
              </w:rPr>
              <w:t>2</w:t>
            </w:r>
            <w:r w:rsidRPr="00C73E2D">
              <w:rPr>
                <w:b/>
                <w:bCs/>
                <w:rtl/>
              </w:rPr>
              <w:t xml:space="preserve">  </w:t>
            </w:r>
          </w:p>
          <w:p w14:paraId="270DC53D" w14:textId="77777777" w:rsidR="00B37603" w:rsidRPr="00C73E2D" w:rsidRDefault="00B37603" w:rsidP="006D65BB">
            <w:pPr>
              <w:pStyle w:val="table"/>
              <w:spacing w:before="80" w:after="80" w:line="216" w:lineRule="auto"/>
            </w:pPr>
            <w:r w:rsidRPr="00C73E2D">
              <w:rPr>
                <w:rtl/>
              </w:rPr>
              <w:t xml:space="preserve">التنسيق والتعاون </w:t>
            </w:r>
          </w:p>
        </w:tc>
      </w:tr>
      <w:tr w:rsidR="00B37603" w:rsidRPr="001778A8" w14:paraId="0AF66CB7" w14:textId="77777777" w:rsidTr="006D65BB">
        <w:trPr>
          <w:cantSplit/>
          <w:jc w:val="right"/>
        </w:trPr>
        <w:tc>
          <w:tcPr>
            <w:tcW w:w="2920" w:type="dxa"/>
          </w:tcPr>
          <w:p w14:paraId="04CDE6E0" w14:textId="77777777" w:rsidR="00B37603" w:rsidRPr="00C73E2D" w:rsidRDefault="00B37603" w:rsidP="00DD3066">
            <w:pPr>
              <w:pStyle w:val="table"/>
              <w:spacing w:before="80" w:after="80" w:line="216" w:lineRule="auto"/>
              <w:rPr>
                <w:b/>
                <w:bCs/>
              </w:rPr>
            </w:pPr>
            <w:r w:rsidRPr="00C73E2D">
              <w:rPr>
                <w:b/>
                <w:bCs/>
                <w:rtl/>
              </w:rPr>
              <w:t>المعيار الأساسي</w:t>
            </w:r>
            <w:r w:rsidR="00DD3066" w:rsidRPr="00C73E2D">
              <w:rPr>
                <w:b/>
                <w:bCs/>
              </w:rPr>
              <w:t xml:space="preserve">  1 </w:t>
            </w:r>
            <w:r w:rsidRPr="00C73E2D">
              <w:rPr>
                <w:b/>
                <w:bCs/>
                <w:rtl/>
              </w:rPr>
              <w:t xml:space="preserve">  </w:t>
            </w:r>
          </w:p>
          <w:p w14:paraId="6A1ECBBB" w14:textId="77777777" w:rsidR="00B37603" w:rsidRPr="00C73E2D" w:rsidRDefault="00B37603" w:rsidP="006D65BB">
            <w:pPr>
              <w:pStyle w:val="table"/>
              <w:spacing w:before="80" w:after="80" w:line="216" w:lineRule="auto"/>
            </w:pPr>
            <w:r w:rsidRPr="00C73E2D">
              <w:rPr>
                <w:rtl/>
              </w:rPr>
              <w:t>الاستجابة الإنسانية التي تراعي قدرات السكان</w:t>
            </w:r>
          </w:p>
        </w:tc>
        <w:tc>
          <w:tcPr>
            <w:tcW w:w="2920" w:type="dxa"/>
          </w:tcPr>
          <w:p w14:paraId="3A7AB327" w14:textId="77777777" w:rsidR="00B37603" w:rsidRPr="00C73E2D" w:rsidRDefault="00366094" w:rsidP="00366094">
            <w:pPr>
              <w:pStyle w:val="table"/>
              <w:spacing w:before="80" w:after="80" w:line="216" w:lineRule="auto"/>
            </w:pPr>
            <w:r w:rsidRPr="00C73E2D">
              <w:rPr>
                <w:rFonts w:hint="cs"/>
                <w:b/>
                <w:bCs/>
                <w:rtl/>
              </w:rPr>
              <w:t xml:space="preserve">الالتزام 6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مساعدة</w:t>
            </w:r>
            <w:r w:rsidRPr="00C73E2D">
              <w:t xml:space="preserve"> </w:t>
            </w:r>
            <w:r w:rsidRPr="00C73E2D">
              <w:rPr>
                <w:rtl/>
              </w:rPr>
              <w:t>منسقة</w:t>
            </w:r>
            <w:r w:rsidRPr="00C73E2D">
              <w:t xml:space="preserve"> </w:t>
            </w:r>
            <w:r w:rsidRPr="00C73E2D">
              <w:rPr>
                <w:rtl/>
              </w:rPr>
              <w:t>ومكملة</w:t>
            </w:r>
            <w:r w:rsidRPr="00C73E2D">
              <w:t>.</w:t>
            </w:r>
          </w:p>
        </w:tc>
        <w:tc>
          <w:tcPr>
            <w:tcW w:w="2920" w:type="dxa"/>
          </w:tcPr>
          <w:p w14:paraId="1037C06E" w14:textId="77777777" w:rsidR="00B37603" w:rsidRPr="00C73E2D" w:rsidRDefault="00366094" w:rsidP="00366094">
            <w:pPr>
              <w:pStyle w:val="table"/>
              <w:spacing w:before="80" w:after="80" w:line="216" w:lineRule="auto"/>
            </w:pPr>
            <w:r w:rsidRPr="00C73E2D">
              <w:rPr>
                <w:rFonts w:hint="cs"/>
                <w:b/>
                <w:bCs/>
                <w:rtl/>
              </w:rPr>
              <w:t>الالتزام</w:t>
            </w:r>
            <w:r w:rsidRPr="00C73E2D">
              <w:rPr>
                <w:b/>
                <w:bCs/>
                <w:rtl/>
              </w:rPr>
              <w:t xml:space="preserve"> </w:t>
            </w:r>
            <w:r w:rsidRPr="00C73E2D">
              <w:rPr>
                <w:rFonts w:hint="cs"/>
                <w:b/>
                <w:bCs/>
                <w:rtl/>
              </w:rPr>
              <w:t xml:space="preserve">5 </w:t>
            </w:r>
            <w:r w:rsidRPr="00C73E2D">
              <w:rPr>
                <w:b/>
                <w:bCs/>
              </w:rPr>
              <w:br/>
            </w:r>
            <w:r w:rsidRPr="00C73E2D">
              <w:rPr>
                <w:rtl/>
              </w:rPr>
              <w:t>المجتمعات</w:t>
            </w:r>
            <w:r w:rsidRPr="00C73E2D">
              <w:rPr>
                <w:rFonts w:hint="cs"/>
                <w:rtl/>
              </w:rPr>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الوصول</w:t>
            </w:r>
            <w:r w:rsidRPr="00C73E2D">
              <w:t xml:space="preserve"> </w:t>
            </w:r>
            <w:r w:rsidRPr="00C73E2D">
              <w:rPr>
                <w:rtl/>
              </w:rPr>
              <w:t>إلى</w:t>
            </w:r>
            <w:r w:rsidRPr="00C73E2D">
              <w:t xml:space="preserve"> </w:t>
            </w:r>
            <w:r w:rsidRPr="00C73E2D">
              <w:rPr>
                <w:rtl/>
              </w:rPr>
              <w:t>آليات</w:t>
            </w:r>
            <w:r w:rsidRPr="00C73E2D">
              <w:t xml:space="preserve"> </w:t>
            </w:r>
            <w:r w:rsidRPr="00C73E2D">
              <w:rPr>
                <w:rtl/>
              </w:rPr>
              <w:t>آمنة</w:t>
            </w:r>
            <w:r w:rsidRPr="00C73E2D">
              <w:t xml:space="preserve"> </w:t>
            </w:r>
            <w:r w:rsidRPr="00C73E2D">
              <w:rPr>
                <w:rtl/>
              </w:rPr>
              <w:t>وفعّالة</w:t>
            </w:r>
            <w:r w:rsidRPr="00C73E2D">
              <w:rPr>
                <w:rFonts w:hint="cs"/>
                <w:rtl/>
              </w:rPr>
              <w:t xml:space="preserve"> </w:t>
            </w:r>
            <w:r w:rsidRPr="00C73E2D">
              <w:rPr>
                <w:rtl/>
              </w:rPr>
              <w:t>لمعالجة</w:t>
            </w:r>
            <w:r w:rsidRPr="00C73E2D">
              <w:t xml:space="preserve"> </w:t>
            </w:r>
            <w:r w:rsidRPr="00C73E2D">
              <w:rPr>
                <w:rtl/>
              </w:rPr>
              <w:t>الشكاوى</w:t>
            </w:r>
            <w:r w:rsidRPr="00C73E2D">
              <w:t>.</w:t>
            </w:r>
          </w:p>
        </w:tc>
        <w:tc>
          <w:tcPr>
            <w:tcW w:w="2920" w:type="dxa"/>
          </w:tcPr>
          <w:p w14:paraId="45DDE698" w14:textId="77777777" w:rsidR="00B37603" w:rsidRPr="00C73E2D" w:rsidRDefault="00366094" w:rsidP="006D65BB">
            <w:pPr>
              <w:pStyle w:val="table"/>
              <w:spacing w:before="80" w:after="80" w:line="216" w:lineRule="auto"/>
            </w:pPr>
            <w:r w:rsidRPr="00C73E2D">
              <w:rPr>
                <w:rFonts w:hint="cs"/>
                <w:b/>
                <w:bCs/>
                <w:rtl/>
              </w:rPr>
              <w:t>الالتزام</w:t>
            </w:r>
            <w:r w:rsidRPr="00C73E2D">
              <w:rPr>
                <w:b/>
                <w:bCs/>
                <w:rtl/>
              </w:rPr>
              <w:t xml:space="preserve"> </w:t>
            </w:r>
            <w:r w:rsidRPr="00C73E2D">
              <w:rPr>
                <w:rFonts w:hint="cs"/>
                <w:b/>
                <w:bCs/>
                <w:rtl/>
              </w:rPr>
              <w:t>4</w:t>
            </w:r>
            <w:r w:rsidRPr="00C73E2D">
              <w:rPr>
                <w:rFonts w:hint="cs"/>
                <w:rtl/>
              </w:rPr>
              <w:t xml:space="preserve"> </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يعرفون</w:t>
            </w:r>
            <w:r w:rsidRPr="00C73E2D">
              <w:t xml:space="preserve"> </w:t>
            </w:r>
            <w:r w:rsidRPr="00C73E2D">
              <w:rPr>
                <w:rtl/>
              </w:rPr>
              <w:t>حقوقهم</w:t>
            </w:r>
            <w:r w:rsidRPr="00C73E2D">
              <w:t xml:space="preserve"> </w:t>
            </w:r>
            <w:r w:rsidRPr="00C73E2D">
              <w:rPr>
                <w:rtl/>
              </w:rPr>
              <w:t>واستحقاقاتهم،</w:t>
            </w:r>
            <w:r w:rsidRPr="00C73E2D">
              <w:t xml:space="preserve"> </w:t>
            </w:r>
            <w:r w:rsidRPr="00C73E2D">
              <w:rPr>
                <w:rtl/>
              </w:rPr>
              <w:t>يمكنهم</w:t>
            </w:r>
            <w:r w:rsidRPr="00C73E2D">
              <w:rPr>
                <w:rFonts w:hint="cs"/>
                <w:rtl/>
              </w:rPr>
              <w:t xml:space="preserve"> </w:t>
            </w:r>
            <w:r w:rsidRPr="00C73E2D">
              <w:rPr>
                <w:rtl/>
              </w:rPr>
              <w:t>الحصول</w:t>
            </w:r>
            <w:r w:rsidRPr="00C73E2D">
              <w:t xml:space="preserve"> </w:t>
            </w:r>
            <w:r w:rsidRPr="00C73E2D">
              <w:rPr>
                <w:rtl/>
              </w:rPr>
              <w:t>على</w:t>
            </w:r>
            <w:r w:rsidRPr="00C73E2D">
              <w:t xml:space="preserve"> </w:t>
            </w:r>
            <w:r w:rsidRPr="00C73E2D">
              <w:rPr>
                <w:rtl/>
              </w:rPr>
              <w:t>المعلومات</w:t>
            </w:r>
            <w:r w:rsidRPr="00C73E2D">
              <w:t xml:space="preserve"> </w:t>
            </w:r>
            <w:r w:rsidRPr="00C73E2D">
              <w:rPr>
                <w:rtl/>
              </w:rPr>
              <w:t>ويشاركون</w:t>
            </w:r>
            <w:r w:rsidRPr="00C73E2D">
              <w:t xml:space="preserve"> </w:t>
            </w:r>
            <w:r w:rsidRPr="00C73E2D">
              <w:rPr>
                <w:rtl/>
              </w:rPr>
              <w:t>في</w:t>
            </w:r>
            <w:r w:rsidRPr="00C73E2D">
              <w:t xml:space="preserve"> </w:t>
            </w:r>
            <w:r w:rsidRPr="00C73E2D">
              <w:rPr>
                <w:rtl/>
              </w:rPr>
              <w:t>اتخاذ</w:t>
            </w:r>
            <w:r w:rsidRPr="00C73E2D">
              <w:t xml:space="preserve"> </w:t>
            </w:r>
            <w:r w:rsidRPr="00C73E2D">
              <w:rPr>
                <w:rtl/>
              </w:rPr>
              <w:t>القرارات</w:t>
            </w:r>
            <w:r w:rsidRPr="00C73E2D">
              <w:t xml:space="preserve"> </w:t>
            </w:r>
            <w:r w:rsidRPr="00C73E2D">
              <w:rPr>
                <w:rtl/>
              </w:rPr>
              <w:t>التي</w:t>
            </w:r>
            <w:r w:rsidRPr="00C73E2D">
              <w:t xml:space="preserve"> </w:t>
            </w:r>
            <w:r w:rsidRPr="00C73E2D">
              <w:rPr>
                <w:rtl/>
              </w:rPr>
              <w:t>تعنى</w:t>
            </w:r>
            <w:r w:rsidRPr="00C73E2D">
              <w:t>.</w:t>
            </w:r>
          </w:p>
        </w:tc>
        <w:tc>
          <w:tcPr>
            <w:tcW w:w="2921" w:type="dxa"/>
          </w:tcPr>
          <w:p w14:paraId="6CE43C9E" w14:textId="77777777" w:rsidR="00B37603" w:rsidRPr="00C73E2D" w:rsidRDefault="0092779E" w:rsidP="006D65BB">
            <w:pPr>
              <w:pStyle w:val="table"/>
              <w:spacing w:before="80" w:after="80" w:line="216" w:lineRule="auto"/>
            </w:pPr>
            <w:r w:rsidRPr="00C73E2D">
              <w:rPr>
                <w:rFonts w:hint="cs"/>
                <w:b/>
                <w:bCs/>
                <w:rtl/>
              </w:rPr>
              <w:t>الالتزام 3</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لي</w:t>
            </w:r>
            <w:r w:rsidRPr="00C73E2D">
              <w:rPr>
                <w:rFonts w:hint="cs"/>
                <w:rtl/>
              </w:rPr>
              <w:t>س</w:t>
            </w:r>
            <w:r w:rsidRPr="00C73E2D">
              <w:rPr>
                <w:rtl/>
              </w:rPr>
              <w:t>وا</w:t>
            </w:r>
            <w:r w:rsidRPr="00C73E2D">
              <w:t xml:space="preserve"> </w:t>
            </w:r>
            <w:r w:rsidRPr="00C73E2D">
              <w:rPr>
                <w:rtl/>
              </w:rPr>
              <w:t>متأث</w:t>
            </w:r>
            <w:r w:rsidRPr="00C73E2D">
              <w:rPr>
                <w:rFonts w:hint="cs"/>
                <w:rtl/>
              </w:rPr>
              <w:t>ر</w:t>
            </w:r>
            <w:r w:rsidRPr="00C73E2D">
              <w:rPr>
                <w:rtl/>
              </w:rPr>
              <w:t>ين</w:t>
            </w:r>
            <w:r w:rsidRPr="00C73E2D">
              <w:t xml:space="preserve"> </w:t>
            </w:r>
            <w:r w:rsidRPr="00C73E2D">
              <w:rPr>
                <w:rtl/>
              </w:rPr>
              <w:t>سلباً</w:t>
            </w:r>
            <w:r w:rsidRPr="00C73E2D">
              <w:t xml:space="preserve"> </w:t>
            </w:r>
            <w:r w:rsidRPr="00C73E2D">
              <w:rPr>
                <w:rtl/>
              </w:rPr>
              <w:t>وهم</w:t>
            </w:r>
            <w:r w:rsidRPr="00C73E2D">
              <w:t xml:space="preserve"> </w:t>
            </w:r>
            <w:r w:rsidRPr="00C73E2D">
              <w:rPr>
                <w:rtl/>
              </w:rPr>
              <w:t>أكثر</w:t>
            </w:r>
            <w:r w:rsidRPr="00C73E2D">
              <w:t xml:space="preserve"> </w:t>
            </w:r>
            <w:r w:rsidRPr="00C73E2D">
              <w:rPr>
                <w:rtl/>
              </w:rPr>
              <w:t>استعداداً</w:t>
            </w:r>
            <w:r w:rsidRPr="00C73E2D">
              <w:rPr>
                <w:rFonts w:hint="cs"/>
                <w:rtl/>
              </w:rPr>
              <w:t xml:space="preserve"> </w:t>
            </w:r>
            <w:r w:rsidRPr="00C73E2D">
              <w:rPr>
                <w:rtl/>
              </w:rPr>
              <w:t>وقدرة</w:t>
            </w:r>
            <w:r w:rsidRPr="00C73E2D">
              <w:t xml:space="preserve"> </w:t>
            </w:r>
            <w:r w:rsidRPr="00C73E2D">
              <w:rPr>
                <w:rtl/>
              </w:rPr>
              <w:t>على</w:t>
            </w:r>
            <w:r w:rsidRPr="00C73E2D">
              <w:t xml:space="preserve"> </w:t>
            </w:r>
            <w:r w:rsidRPr="00C73E2D">
              <w:rPr>
                <w:rtl/>
              </w:rPr>
              <w:t>الصمود،</w:t>
            </w:r>
            <w:r w:rsidRPr="00C73E2D">
              <w:t xml:space="preserve"> </w:t>
            </w:r>
            <w:r w:rsidRPr="00C73E2D">
              <w:rPr>
                <w:rtl/>
              </w:rPr>
              <w:t>وأقل</w:t>
            </w:r>
            <w:r w:rsidRPr="00C73E2D">
              <w:t xml:space="preserve"> </w:t>
            </w:r>
            <w:r w:rsidRPr="00C73E2D">
              <w:rPr>
                <w:rtl/>
              </w:rPr>
              <w:t>تعرضاً</w:t>
            </w:r>
            <w:r w:rsidRPr="00C73E2D">
              <w:t xml:space="preserve"> </w:t>
            </w:r>
            <w:r w:rsidRPr="00C73E2D">
              <w:rPr>
                <w:rtl/>
              </w:rPr>
              <w:t>للخطر</w:t>
            </w:r>
            <w:r w:rsidRPr="00C73E2D">
              <w:t xml:space="preserve"> </w:t>
            </w:r>
            <w:r w:rsidRPr="00C73E2D">
              <w:rPr>
                <w:rtl/>
              </w:rPr>
              <w:t>نتيجة</w:t>
            </w:r>
            <w:r w:rsidRPr="00C73E2D">
              <w:t xml:space="preserve"> </w:t>
            </w:r>
            <w:r w:rsidRPr="00C73E2D">
              <w:rPr>
                <w:rtl/>
              </w:rPr>
              <w:t>للعمل</w:t>
            </w:r>
            <w:r w:rsidRPr="00C73E2D">
              <w:t xml:space="preserve"> </w:t>
            </w:r>
            <w:r w:rsidRPr="00C73E2D">
              <w:rPr>
                <w:rtl/>
              </w:rPr>
              <w:t>الإنساني</w:t>
            </w:r>
            <w:r w:rsidR="00B37603" w:rsidRPr="00C73E2D">
              <w:rPr>
                <w:rtl/>
              </w:rPr>
              <w:t xml:space="preserve">.  </w:t>
            </w:r>
          </w:p>
        </w:tc>
      </w:tr>
      <w:tr w:rsidR="00B37603" w:rsidRPr="001778A8" w14:paraId="22D6760D" w14:textId="77777777" w:rsidTr="006D65BB">
        <w:trPr>
          <w:cantSplit/>
          <w:jc w:val="right"/>
        </w:trPr>
        <w:tc>
          <w:tcPr>
            <w:tcW w:w="2920" w:type="dxa"/>
          </w:tcPr>
          <w:p w14:paraId="2AB570F0" w14:textId="77777777" w:rsidR="00B37603" w:rsidRPr="00C73E2D" w:rsidRDefault="0092779E" w:rsidP="0092779E">
            <w:pPr>
              <w:pStyle w:val="table"/>
              <w:spacing w:before="80" w:after="80" w:line="216" w:lineRule="auto"/>
            </w:pPr>
            <w:r w:rsidRPr="00C73E2D">
              <w:rPr>
                <w:rFonts w:hint="cs"/>
                <w:b/>
                <w:bCs/>
                <w:rtl/>
              </w:rPr>
              <w:t>الالتزام 2</w:t>
            </w:r>
            <w:r w:rsidRPr="00C73E2D">
              <w:rPr>
                <w:rFonts w:hint="cs"/>
                <w:rtl/>
              </w:rPr>
              <w:t xml:space="preserve"> </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الحصول</w:t>
            </w:r>
            <w:r w:rsidRPr="00C73E2D">
              <w:t xml:space="preserve"> </w:t>
            </w:r>
            <w:r w:rsidRPr="00C73E2D">
              <w:rPr>
                <w:rtl/>
              </w:rPr>
              <w:t>على</w:t>
            </w:r>
            <w:r w:rsidRPr="00C73E2D">
              <w:t xml:space="preserve"> </w:t>
            </w:r>
            <w:r w:rsidRPr="00C73E2D">
              <w:rPr>
                <w:rtl/>
              </w:rPr>
              <w:t>المساعدات</w:t>
            </w:r>
            <w:r w:rsidRPr="00C73E2D">
              <w:t xml:space="preserve"> </w:t>
            </w:r>
            <w:r w:rsidRPr="00C73E2D">
              <w:rPr>
                <w:rtl/>
              </w:rPr>
              <w:t>الإنسانية</w:t>
            </w:r>
            <w:r w:rsidRPr="00C73E2D">
              <w:rPr>
                <w:rFonts w:hint="cs"/>
                <w:rtl/>
              </w:rPr>
              <w:t xml:space="preserve"> </w:t>
            </w:r>
            <w:r w:rsidRPr="00C73E2D">
              <w:rPr>
                <w:rtl/>
              </w:rPr>
              <w:t>التي</w:t>
            </w:r>
            <w:r w:rsidRPr="00C73E2D">
              <w:t xml:space="preserve"> </w:t>
            </w:r>
            <w:r w:rsidRPr="00C73E2D">
              <w:rPr>
                <w:rtl/>
              </w:rPr>
              <w:t>يحتاجون</w:t>
            </w:r>
            <w:r w:rsidRPr="00C73E2D">
              <w:t xml:space="preserve"> </w:t>
            </w:r>
            <w:r w:rsidRPr="00C73E2D">
              <w:rPr>
                <w:rtl/>
              </w:rPr>
              <w:t>إليها</w:t>
            </w:r>
            <w:r w:rsidRPr="00C73E2D">
              <w:t xml:space="preserve"> </w:t>
            </w:r>
            <w:r w:rsidRPr="00C73E2D">
              <w:rPr>
                <w:rtl/>
              </w:rPr>
              <w:t>في</w:t>
            </w:r>
            <w:r w:rsidRPr="00C73E2D">
              <w:t xml:space="preserve"> </w:t>
            </w:r>
            <w:r w:rsidRPr="00C73E2D">
              <w:rPr>
                <w:rtl/>
              </w:rPr>
              <w:t>الوقت</w:t>
            </w:r>
            <w:r w:rsidRPr="00C73E2D">
              <w:t xml:space="preserve"> </w:t>
            </w:r>
            <w:r w:rsidRPr="00C73E2D">
              <w:rPr>
                <w:rtl/>
              </w:rPr>
              <w:t>المناسب</w:t>
            </w:r>
            <w:r w:rsidR="00366094" w:rsidRPr="00C73E2D">
              <w:t>.</w:t>
            </w:r>
          </w:p>
        </w:tc>
        <w:tc>
          <w:tcPr>
            <w:tcW w:w="2920" w:type="dxa"/>
          </w:tcPr>
          <w:p w14:paraId="0DBA7378" w14:textId="77777777" w:rsidR="00B37603" w:rsidRPr="00C73E2D" w:rsidRDefault="0092779E" w:rsidP="0092779E">
            <w:pPr>
              <w:pStyle w:val="table"/>
              <w:spacing w:before="80" w:after="80" w:line="216" w:lineRule="auto"/>
            </w:pPr>
            <w:r w:rsidRPr="00C73E2D">
              <w:rPr>
                <w:rFonts w:hint="cs"/>
                <w:b/>
                <w:bCs/>
                <w:rtl/>
              </w:rPr>
              <w:t>الالتزام 1</w:t>
            </w:r>
            <w:r w:rsidRPr="00C73E2D">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المساعدة</w:t>
            </w:r>
            <w:r w:rsidRPr="00C73E2D">
              <w:t xml:space="preserve"> </w:t>
            </w:r>
            <w:r w:rsidRPr="00C73E2D">
              <w:rPr>
                <w:rtl/>
              </w:rPr>
              <w:t>المناسبة</w:t>
            </w:r>
            <w:r w:rsidRPr="00C73E2D">
              <w:t xml:space="preserve"> </w:t>
            </w:r>
            <w:r w:rsidRPr="00C73E2D">
              <w:rPr>
                <w:rtl/>
              </w:rPr>
              <w:t>والملائمة</w:t>
            </w:r>
            <w:r w:rsidRPr="00C73E2D">
              <w:rPr>
                <w:rFonts w:hint="cs"/>
                <w:rtl/>
              </w:rPr>
              <w:t xml:space="preserve"> </w:t>
            </w:r>
            <w:r w:rsidRPr="00C73E2D">
              <w:rPr>
                <w:rtl/>
              </w:rPr>
              <w:t>لاحتياجاتهم</w:t>
            </w:r>
            <w:r w:rsidR="00366094" w:rsidRPr="00C73E2D">
              <w:t>.</w:t>
            </w:r>
          </w:p>
        </w:tc>
        <w:tc>
          <w:tcPr>
            <w:tcW w:w="2920" w:type="dxa"/>
          </w:tcPr>
          <w:p w14:paraId="44EC729F" w14:textId="77777777" w:rsidR="00366094" w:rsidRPr="00C73E2D" w:rsidRDefault="00366094" w:rsidP="00366094">
            <w:pPr>
              <w:pStyle w:val="table"/>
              <w:spacing w:line="240" w:lineRule="auto"/>
              <w:contextualSpacing/>
            </w:pPr>
            <w:r w:rsidRPr="00C73E2D">
              <w:rPr>
                <w:rFonts w:hint="cs"/>
                <w:b/>
                <w:bCs/>
                <w:rtl/>
              </w:rPr>
              <w:t xml:space="preserve">الالتزام 9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أن</w:t>
            </w:r>
            <w:r w:rsidRPr="00C73E2D">
              <w:t xml:space="preserve"> </w:t>
            </w:r>
            <w:r w:rsidRPr="00C73E2D">
              <w:rPr>
                <w:rtl/>
              </w:rPr>
              <w:t>يتوقعوا</w:t>
            </w:r>
            <w:r w:rsidRPr="00C73E2D">
              <w:t xml:space="preserve"> </w:t>
            </w:r>
            <w:r w:rsidRPr="00C73E2D">
              <w:rPr>
                <w:rtl/>
              </w:rPr>
              <w:t>أن</w:t>
            </w:r>
            <w:r w:rsidRPr="00C73E2D">
              <w:t xml:space="preserve"> </w:t>
            </w:r>
            <w:r w:rsidRPr="00C73E2D">
              <w:rPr>
                <w:rtl/>
              </w:rPr>
              <w:t>المنظمات</w:t>
            </w:r>
            <w:r w:rsidRPr="00C73E2D">
              <w:t xml:space="preserve"> </w:t>
            </w:r>
            <w:r w:rsidRPr="00C73E2D">
              <w:rPr>
                <w:rtl/>
              </w:rPr>
              <w:t>التي</w:t>
            </w:r>
            <w:r w:rsidRPr="00C73E2D">
              <w:t xml:space="preserve"> </w:t>
            </w:r>
            <w:r w:rsidRPr="00C73E2D">
              <w:rPr>
                <w:rtl/>
              </w:rPr>
              <w:t>تقدّم</w:t>
            </w:r>
          </w:p>
          <w:p w14:paraId="3DF62829" w14:textId="77777777" w:rsidR="00B37603" w:rsidRPr="00C73E2D" w:rsidRDefault="00366094" w:rsidP="00366094">
            <w:pPr>
              <w:pStyle w:val="table"/>
              <w:spacing w:before="80" w:after="80" w:line="240" w:lineRule="auto"/>
              <w:contextualSpacing/>
            </w:pPr>
            <w:r w:rsidRPr="00C73E2D">
              <w:rPr>
                <w:rtl/>
              </w:rPr>
              <w:t>المساعدة</w:t>
            </w:r>
            <w:r w:rsidRPr="00C73E2D">
              <w:t xml:space="preserve"> </w:t>
            </w:r>
            <w:r w:rsidRPr="00C73E2D">
              <w:rPr>
                <w:rtl/>
              </w:rPr>
              <w:t>تدير</w:t>
            </w:r>
            <w:r w:rsidRPr="00C73E2D">
              <w:t xml:space="preserve"> </w:t>
            </w:r>
            <w:r w:rsidRPr="00C73E2D">
              <w:rPr>
                <w:rtl/>
              </w:rPr>
              <w:t>الموارد</w:t>
            </w:r>
            <w:r w:rsidRPr="00C73E2D">
              <w:t xml:space="preserve"> </w:t>
            </w:r>
            <w:r w:rsidRPr="00C73E2D">
              <w:rPr>
                <w:rtl/>
              </w:rPr>
              <w:t>بفعالية</w:t>
            </w:r>
            <w:r w:rsidRPr="00C73E2D">
              <w:t xml:space="preserve"> </w:t>
            </w:r>
            <w:r w:rsidRPr="00C73E2D">
              <w:rPr>
                <w:rtl/>
              </w:rPr>
              <w:t>وكفاءة</w:t>
            </w:r>
            <w:r w:rsidRPr="00C73E2D">
              <w:t xml:space="preserve"> </w:t>
            </w:r>
            <w:r w:rsidRPr="00C73E2D">
              <w:rPr>
                <w:rtl/>
              </w:rPr>
              <w:t>وبشكل</w:t>
            </w:r>
            <w:r w:rsidRPr="00C73E2D">
              <w:t xml:space="preserve"> </w:t>
            </w:r>
            <w:r w:rsidRPr="00C73E2D">
              <w:rPr>
                <w:rtl/>
              </w:rPr>
              <w:t>أخلاقي</w:t>
            </w:r>
          </w:p>
        </w:tc>
        <w:tc>
          <w:tcPr>
            <w:tcW w:w="2920" w:type="dxa"/>
          </w:tcPr>
          <w:p w14:paraId="276F840A" w14:textId="77777777" w:rsidR="00366094" w:rsidRPr="00C73E2D" w:rsidRDefault="00366094" w:rsidP="00366094">
            <w:pPr>
              <w:pStyle w:val="table"/>
              <w:keepNext/>
            </w:pPr>
            <w:r w:rsidRPr="00C73E2D">
              <w:rPr>
                <w:rFonts w:hint="cs"/>
                <w:b/>
                <w:bCs/>
                <w:rtl/>
              </w:rPr>
              <w:t xml:space="preserve">الالتزام 8 </w:t>
            </w:r>
            <w:r w:rsidRPr="00C73E2D">
              <w:rPr>
                <w:b/>
                <w:bCs/>
              </w:rPr>
              <w:br/>
            </w:r>
            <w:r w:rsidRPr="00C73E2D">
              <w:rPr>
                <w:rtl/>
              </w:rPr>
              <w:t>المجتمعات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يتلقون</w:t>
            </w:r>
            <w:r w:rsidRPr="00C73E2D">
              <w:t xml:space="preserve"> </w:t>
            </w:r>
            <w:r w:rsidRPr="00C73E2D">
              <w:rPr>
                <w:rtl/>
              </w:rPr>
              <w:t>المساعدة</w:t>
            </w:r>
            <w:r w:rsidRPr="00C73E2D">
              <w:t xml:space="preserve"> </w:t>
            </w:r>
            <w:r w:rsidRPr="00C73E2D">
              <w:rPr>
                <w:rtl/>
              </w:rPr>
              <w:t>التي</w:t>
            </w:r>
            <w:r w:rsidRPr="00C73E2D">
              <w:t xml:space="preserve"> </w:t>
            </w:r>
            <w:r w:rsidRPr="00C73E2D">
              <w:rPr>
                <w:rtl/>
              </w:rPr>
              <w:t>يحتاجون</w:t>
            </w:r>
            <w:r w:rsidRPr="00C73E2D">
              <w:t xml:space="preserve"> </w:t>
            </w:r>
            <w:r w:rsidRPr="00C73E2D">
              <w:rPr>
                <w:rtl/>
              </w:rPr>
              <w:t>إليها</w:t>
            </w:r>
            <w:r w:rsidRPr="00C73E2D">
              <w:t xml:space="preserve"> </w:t>
            </w:r>
            <w:r w:rsidRPr="00C73E2D">
              <w:rPr>
                <w:rtl/>
              </w:rPr>
              <w:t>من</w:t>
            </w:r>
            <w:r w:rsidRPr="00C73E2D">
              <w:t xml:space="preserve"> </w:t>
            </w:r>
            <w:r w:rsidRPr="00C73E2D">
              <w:rPr>
                <w:rtl/>
              </w:rPr>
              <w:t>قبل</w:t>
            </w:r>
          </w:p>
          <w:p w14:paraId="7C29309F" w14:textId="77777777" w:rsidR="00B37603" w:rsidRPr="00C73E2D" w:rsidRDefault="00366094" w:rsidP="00366094">
            <w:pPr>
              <w:pStyle w:val="table"/>
              <w:spacing w:before="80" w:after="80" w:line="216" w:lineRule="auto"/>
            </w:pPr>
            <w:r w:rsidRPr="00C73E2D">
              <w:rPr>
                <w:rtl/>
              </w:rPr>
              <w:t>موظفين</w:t>
            </w:r>
            <w:r w:rsidRPr="00C73E2D">
              <w:t xml:space="preserve"> </w:t>
            </w:r>
            <w:r w:rsidRPr="00C73E2D">
              <w:rPr>
                <w:rtl/>
              </w:rPr>
              <w:t>ومتطوعين</w:t>
            </w:r>
            <w:r w:rsidRPr="00C73E2D">
              <w:t xml:space="preserve"> </w:t>
            </w:r>
            <w:r w:rsidRPr="00C73E2D">
              <w:rPr>
                <w:rtl/>
              </w:rPr>
              <w:t>يتمتعون</w:t>
            </w:r>
            <w:r w:rsidRPr="00C73E2D">
              <w:t xml:space="preserve"> </w:t>
            </w:r>
            <w:r w:rsidRPr="00C73E2D">
              <w:rPr>
                <w:rtl/>
              </w:rPr>
              <w:t>بكفاءة</w:t>
            </w:r>
            <w:r w:rsidRPr="00C73E2D">
              <w:t xml:space="preserve"> </w:t>
            </w:r>
            <w:r w:rsidRPr="00C73E2D">
              <w:rPr>
                <w:rtl/>
              </w:rPr>
              <w:t>وإدارة</w:t>
            </w:r>
            <w:r w:rsidRPr="00C73E2D">
              <w:t xml:space="preserve"> </w:t>
            </w:r>
            <w:r w:rsidRPr="00C73E2D">
              <w:rPr>
                <w:rtl/>
              </w:rPr>
              <w:t>جيدة</w:t>
            </w:r>
            <w:r w:rsidRPr="00C73E2D">
              <w:t xml:space="preserve">. </w:t>
            </w:r>
          </w:p>
        </w:tc>
        <w:tc>
          <w:tcPr>
            <w:tcW w:w="2921" w:type="dxa"/>
          </w:tcPr>
          <w:p w14:paraId="533B3E6B" w14:textId="77777777" w:rsidR="00B37603" w:rsidRPr="00C73E2D" w:rsidRDefault="00366094" w:rsidP="006D65BB">
            <w:pPr>
              <w:pStyle w:val="table"/>
              <w:spacing w:before="80" w:after="80" w:line="216" w:lineRule="auto"/>
            </w:pPr>
            <w:r w:rsidRPr="00C73E2D">
              <w:rPr>
                <w:rFonts w:hint="cs"/>
                <w:b/>
                <w:bCs/>
                <w:rtl/>
              </w:rPr>
              <w:t>الالتزام 7</w:t>
            </w:r>
            <w:r w:rsidRPr="00C73E2D">
              <w:rPr>
                <w:b/>
                <w:bCs/>
              </w:rPr>
              <w:br/>
            </w:r>
            <w:r w:rsidRPr="00C73E2D">
              <w:rPr>
                <w:b/>
                <w:bCs/>
                <w:rtl/>
              </w:rPr>
              <w:t>ا</w:t>
            </w:r>
            <w:r w:rsidRPr="00C73E2D">
              <w:rPr>
                <w:rtl/>
              </w:rPr>
              <w:t>لمجتمعات</w:t>
            </w:r>
            <w:r w:rsidRPr="00C73E2D">
              <w:t xml:space="preserve"> </w:t>
            </w:r>
            <w:r w:rsidRPr="00C73E2D">
              <w:rPr>
                <w:rtl/>
              </w:rPr>
              <w:t>والأشخاص</w:t>
            </w:r>
            <w:r w:rsidRPr="00C73E2D">
              <w:t xml:space="preserve"> </w:t>
            </w:r>
            <w:r w:rsidRPr="00C73E2D">
              <w:rPr>
                <w:rtl/>
              </w:rPr>
              <w:t>المتضرر</w:t>
            </w:r>
            <w:r w:rsidRPr="00C73E2D">
              <w:rPr>
                <w:rFonts w:hint="cs"/>
                <w:rtl/>
              </w:rPr>
              <w:t>ي</w:t>
            </w:r>
            <w:r w:rsidRPr="00C73E2D">
              <w:rPr>
                <w:rtl/>
              </w:rPr>
              <w:t>ن</w:t>
            </w:r>
            <w:r w:rsidRPr="00C73E2D">
              <w:t xml:space="preserve"> </w:t>
            </w:r>
            <w:r w:rsidRPr="00C73E2D">
              <w:rPr>
                <w:rtl/>
              </w:rPr>
              <w:t>من</w:t>
            </w:r>
            <w:r w:rsidRPr="00C73E2D">
              <w:t xml:space="preserve"> </w:t>
            </w:r>
            <w:r w:rsidRPr="00C73E2D">
              <w:rPr>
                <w:rtl/>
              </w:rPr>
              <w:t>الأزمة</w:t>
            </w:r>
            <w:r w:rsidRPr="00C73E2D">
              <w:t xml:space="preserve"> </w:t>
            </w:r>
            <w:r w:rsidRPr="00C73E2D">
              <w:rPr>
                <w:rtl/>
              </w:rPr>
              <w:t>يمكنهم</w:t>
            </w:r>
            <w:r w:rsidRPr="00C73E2D">
              <w:t xml:space="preserve"> </w:t>
            </w:r>
            <w:r w:rsidRPr="00C73E2D">
              <w:rPr>
                <w:rtl/>
              </w:rPr>
              <w:t>أن</w:t>
            </w:r>
            <w:r w:rsidRPr="00C73E2D">
              <w:t xml:space="preserve"> </w:t>
            </w:r>
            <w:r w:rsidRPr="00C73E2D">
              <w:rPr>
                <w:rtl/>
              </w:rPr>
              <w:t>يتوقعوا</w:t>
            </w:r>
            <w:r w:rsidRPr="00C73E2D">
              <w:t xml:space="preserve"> </w:t>
            </w:r>
            <w:r w:rsidRPr="00C73E2D">
              <w:rPr>
                <w:rtl/>
              </w:rPr>
              <w:t>تقديم</w:t>
            </w:r>
            <w:r w:rsidRPr="00C73E2D">
              <w:t xml:space="preserve"> </w:t>
            </w:r>
            <w:r w:rsidRPr="00C73E2D">
              <w:rPr>
                <w:rtl/>
              </w:rPr>
              <w:t>مساعدة</w:t>
            </w:r>
            <w:r w:rsidRPr="00C73E2D">
              <w:t xml:space="preserve"> </w:t>
            </w:r>
            <w:r w:rsidRPr="00C73E2D">
              <w:rPr>
                <w:rtl/>
              </w:rPr>
              <w:t>مطورة</w:t>
            </w:r>
            <w:r w:rsidRPr="00C73E2D">
              <w:rPr>
                <w:rFonts w:hint="cs"/>
                <w:rtl/>
              </w:rPr>
              <w:t xml:space="preserve"> </w:t>
            </w:r>
            <w:r w:rsidRPr="00C73E2D">
              <w:rPr>
                <w:rtl/>
              </w:rPr>
              <w:t>ل</w:t>
            </w:r>
            <w:r w:rsidRPr="00C73E2D">
              <w:rPr>
                <w:rFonts w:hint="cs"/>
                <w:rtl/>
              </w:rPr>
              <w:t>أ</w:t>
            </w:r>
            <w:r w:rsidRPr="00C73E2D">
              <w:rPr>
                <w:rtl/>
              </w:rPr>
              <w:t>نّ</w:t>
            </w:r>
            <w:r w:rsidRPr="00C73E2D">
              <w:t xml:space="preserve"> </w:t>
            </w:r>
            <w:r w:rsidRPr="00C73E2D">
              <w:rPr>
                <w:rtl/>
              </w:rPr>
              <w:t>المنظمات</w:t>
            </w:r>
            <w:r w:rsidRPr="00C73E2D">
              <w:t xml:space="preserve"> </w:t>
            </w:r>
            <w:r w:rsidRPr="00C73E2D">
              <w:rPr>
                <w:rtl/>
              </w:rPr>
              <w:t>تتعلّم</w:t>
            </w:r>
            <w:r w:rsidRPr="00C73E2D">
              <w:t xml:space="preserve"> </w:t>
            </w:r>
            <w:r w:rsidRPr="00C73E2D">
              <w:rPr>
                <w:rtl/>
              </w:rPr>
              <w:t>من</w:t>
            </w:r>
            <w:r w:rsidRPr="00C73E2D">
              <w:t xml:space="preserve"> </w:t>
            </w:r>
            <w:r w:rsidRPr="00C73E2D">
              <w:rPr>
                <w:rtl/>
              </w:rPr>
              <w:t>التجارب</w:t>
            </w:r>
            <w:r w:rsidRPr="00C73E2D">
              <w:t xml:space="preserve"> </w:t>
            </w:r>
            <w:r w:rsidRPr="00C73E2D">
              <w:rPr>
                <w:rtl/>
              </w:rPr>
              <w:t>والرصد</w:t>
            </w:r>
            <w:r w:rsidRPr="00C73E2D">
              <w:t>.</w:t>
            </w:r>
          </w:p>
        </w:tc>
      </w:tr>
    </w:tbl>
    <w:p w14:paraId="187B88C6" w14:textId="77777777" w:rsidR="003918D7" w:rsidRPr="00A64DAB" w:rsidRDefault="003918D7" w:rsidP="006D65BB">
      <w:pPr>
        <w:pStyle w:val="table"/>
      </w:pPr>
    </w:p>
    <w:sectPr w:rsidR="003918D7" w:rsidRPr="00A64DAB" w:rsidSect="000E361A">
      <w:footerReference w:type="default" r:id="rId12"/>
      <w:pgSz w:w="16838" w:h="11906" w:orient="landscape" w:code="9"/>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C5219" w14:textId="77777777" w:rsidR="00E665B2" w:rsidRDefault="00E665B2" w:rsidP="002848CC">
      <w:pPr>
        <w:spacing w:before="0"/>
      </w:pPr>
      <w:r>
        <w:separator/>
      </w:r>
    </w:p>
  </w:endnote>
  <w:endnote w:type="continuationSeparator" w:id="0">
    <w:p w14:paraId="1D5C6914" w14:textId="77777777" w:rsidR="00E665B2" w:rsidRDefault="00E665B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7E334" w14:textId="7BD35AC0" w:rsidR="004E6E98" w:rsidRPr="00A64DAB" w:rsidRDefault="00A64DAB" w:rsidP="004B283F">
    <w:pPr>
      <w:pStyle w:val="Footer"/>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307E5" w14:textId="4D56B5B1" w:rsidR="004F736A" w:rsidRPr="00A64DAB" w:rsidRDefault="00A64DAB" w:rsidP="004B283F">
    <w:pPr>
      <w:pStyle w:val="Footer"/>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2DF76" w14:textId="17FF7B3F" w:rsidR="00A64DAB" w:rsidRPr="00A64DAB" w:rsidRDefault="00A64DAB" w:rsidP="004B283F">
    <w:pPr>
      <w:pStyle w:val="Footer"/>
      <w:tabs>
        <w:tab w:val="clear" w:pos="9356"/>
        <w:tab w:val="right" w:pos="14570"/>
      </w:tabs>
    </w:pPr>
    <w:r w:rsidRPr="00A64DAB">
      <w:rPr>
        <w:rtl/>
      </w:rPr>
      <w:t>الجزء "أ" 8: المعايير الإنسانيّة الأساسيّة المدرجة في دليل اسفير</w:t>
    </w:r>
    <w:r w:rsidRPr="00A64DAB">
      <w:rPr>
        <w:rtl/>
      </w:rPr>
      <w:tab/>
      <w:t xml:space="preserve">مجموعة اسفير التدريبية </w:t>
    </w:r>
    <w:r w:rsidR="004B283F">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9BC59" w14:textId="77777777" w:rsidR="00E665B2" w:rsidRPr="007222FF" w:rsidRDefault="00E665B2" w:rsidP="002848CC">
      <w:pPr>
        <w:spacing w:before="0"/>
        <w:rPr>
          <w:sz w:val="16"/>
          <w:szCs w:val="16"/>
        </w:rPr>
      </w:pPr>
      <w:r w:rsidRPr="007222FF">
        <w:rPr>
          <w:sz w:val="16"/>
          <w:szCs w:val="16"/>
        </w:rPr>
        <w:separator/>
      </w:r>
    </w:p>
  </w:footnote>
  <w:footnote w:type="continuationSeparator" w:id="0">
    <w:p w14:paraId="50A20288" w14:textId="77777777" w:rsidR="00E665B2" w:rsidRDefault="00E665B2"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0DD8E" w14:textId="77777777" w:rsidR="00C41F77" w:rsidRPr="004E6E98" w:rsidRDefault="004E6E98" w:rsidP="004E6E98">
    <w:pPr>
      <w:pStyle w:val="Header"/>
    </w:pPr>
    <w:r w:rsidRPr="004E6E98">
      <w:rPr>
        <w:rFonts w:eastAsia="MS PGothic"/>
        <w:rtl/>
      </w:rPr>
      <w:t>المادّة التّدريبيّة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F1CF7" w14:textId="77777777" w:rsidR="004E6E98" w:rsidRPr="004E6E98" w:rsidRDefault="00A64DAB" w:rsidP="004E6E98">
    <w:pPr>
      <w:pStyle w:val="Heading1"/>
      <w:rPr>
        <w:color w:val="579305" w:themeColor="accent1"/>
        <w:rtl/>
      </w:rPr>
    </w:pPr>
    <w:r w:rsidRPr="00A64DAB">
      <w:rPr>
        <w:rtl/>
      </w:rPr>
      <w:t xml:space="preserve">الجزء </w:t>
    </w:r>
    <w:r w:rsidRPr="00A64DAB">
      <w:rPr>
        <w:rtl/>
      </w:rPr>
      <w:t>"أ" 8: المعايير الإنسانيّة الأساسيّة المدرجة في دليل اسفير</w:t>
    </w:r>
    <w:r w:rsidR="004E6E98" w:rsidRPr="004E6E98">
      <w:rPr>
        <w:rtl/>
      </w:rPr>
      <w:tab/>
    </w:r>
    <w:r w:rsidR="004E6E98" w:rsidRPr="004E6E98">
      <w:rPr>
        <w:color w:val="579305" w:themeColor="accent1"/>
        <w:rtl/>
      </w:rPr>
      <w:t>الخطوط العريضة</w:t>
    </w:r>
  </w:p>
  <w:p w14:paraId="1F470740" w14:textId="77777777" w:rsidR="00C41F77" w:rsidRPr="004E6E98" w:rsidRDefault="00A64DAB" w:rsidP="00A64DAB">
    <w:pPr>
      <w:pStyle w:val="Heading2"/>
      <w:tabs>
        <w:tab w:val="clear" w:pos="9356"/>
      </w:tabs>
      <w:ind w:right="-426"/>
    </w:pPr>
    <w:r w:rsidRPr="00A64DAB">
      <w:rPr>
        <w:rtl/>
      </w:rPr>
      <w:t>ماهي المعايير الإنسانيّة الأساسيّة وكيف يمكن لاستخدامها المشترك مع الأجزاء الأخرى لدليل اسفير تعزيز الجودة والمساءلة؟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31F6"/>
    <w:multiLevelType w:val="hybridMultilevel"/>
    <w:tmpl w:val="DD98AB42"/>
    <w:lvl w:ilvl="0" w:tplc="92BE219A">
      <w:start w:val="1"/>
      <w:numFmt w:val="decimal"/>
      <w:pStyle w:val="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D7DD3"/>
    <w:multiLevelType w:val="hybridMultilevel"/>
    <w:tmpl w:val="878EC716"/>
    <w:lvl w:ilvl="0" w:tplc="BD68BE1C">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5672F"/>
    <w:multiLevelType w:val="hybridMultilevel"/>
    <w:tmpl w:val="B87E6C34"/>
    <w:lvl w:ilvl="0" w:tplc="A9F6C8A2">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4A1658"/>
    <w:multiLevelType w:val="hybridMultilevel"/>
    <w:tmpl w:val="693ED614"/>
    <w:lvl w:ilvl="0" w:tplc="70E46FB2">
      <w:start w:val="1"/>
      <w:numFmt w:val="arabicAlpha"/>
      <w:pStyle w:val="list2"/>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abstractNumId w:val="1"/>
  </w:num>
  <w:num w:numId="2">
    <w:abstractNumId w:val="2"/>
  </w:num>
  <w:num w:numId="3">
    <w:abstractNumId w:val="0"/>
  </w:num>
  <w:num w:numId="4">
    <w:abstractNumId w:val="3"/>
  </w:num>
  <w:num w:numId="5">
    <w:abstractNumId w:val="0"/>
    <w:lvlOverride w:ilvl="0">
      <w:startOverride w:val="1"/>
    </w:lvlOverride>
  </w:num>
  <w:num w:numId="6">
    <w:abstractNumId w:val="3"/>
    <w:lvlOverride w:ilvl="0">
      <w:startOverride w:val="1"/>
    </w:lvlOverride>
  </w:num>
  <w:num w:numId="7">
    <w:abstractNumId w:val="0"/>
    <w:lvlOverride w:ilvl="0">
      <w:startOverride w:val="1"/>
    </w:lvlOverride>
  </w:num>
  <w:num w:numId="8">
    <w:abstractNumId w:val="3"/>
    <w:lvlOverride w:ilvl="0">
      <w:startOverride w:val="1"/>
    </w:lvlOverride>
  </w:num>
  <w:num w:numId="9">
    <w:abstractNumId w:val="0"/>
    <w:lvlOverride w:ilvl="0">
      <w:startOverride w:val="1"/>
    </w:lvlOverride>
  </w:num>
  <w:num w:numId="10">
    <w:abstractNumId w:val="3"/>
    <w:lvlOverride w:ilvl="0">
      <w:startOverride w:val="1"/>
    </w:lvlOverride>
  </w:num>
  <w:num w:numId="11">
    <w:abstractNumId w:val="0"/>
    <w:lvlOverride w:ilvl="0">
      <w:startOverride w:val="1"/>
    </w:lvlOverride>
  </w:num>
  <w:num w:numId="12">
    <w:abstractNumId w:val="3"/>
    <w:lvlOverride w:ilvl="0">
      <w:startOverride w:val="1"/>
    </w:lvlOverride>
  </w:num>
  <w:num w:numId="13">
    <w:abstractNumId w:val="0"/>
    <w:lvlOverride w:ilvl="0">
      <w:startOverride w:val="1"/>
    </w:lvlOverride>
  </w:num>
  <w:num w:numId="14">
    <w:abstractNumId w:val="3"/>
    <w:lvlOverride w:ilvl="0">
      <w:startOverride w:val="1"/>
    </w:lvlOverride>
  </w:num>
  <w:num w:numId="15">
    <w:abstractNumId w:val="0"/>
    <w:lvlOverride w:ilvl="0">
      <w:startOverride w:val="1"/>
    </w:lvlOverride>
  </w:num>
  <w:num w:numId="16">
    <w:abstractNumId w:val="3"/>
    <w:lvlOverride w:ilvl="0">
      <w:startOverride w:val="1"/>
    </w:lvlOverride>
  </w:num>
  <w:num w:numId="17">
    <w:abstractNumId w:val="0"/>
    <w:lvlOverride w:ilvl="0">
      <w:startOverride w:val="1"/>
    </w:lvlOverride>
  </w:num>
  <w:num w:numId="18">
    <w:abstractNumId w:val="3"/>
    <w:lvlOverride w:ilvl="0">
      <w:startOverride w:val="1"/>
    </w:lvlOverride>
  </w:num>
  <w:num w:numId="19">
    <w:abstractNumId w:val="0"/>
    <w:lvlOverride w:ilvl="0">
      <w:startOverride w:val="1"/>
    </w:lvlOverride>
  </w:num>
  <w:num w:numId="20">
    <w:abstractNumId w:val="3"/>
    <w:lvlOverride w:ilvl="0">
      <w:startOverride w:val="1"/>
    </w:lvlOverride>
  </w:num>
  <w:num w:numId="21">
    <w:abstractNumId w:val="0"/>
    <w:lvlOverride w:ilvl="0">
      <w:startOverride w:val="1"/>
    </w:lvlOverride>
  </w:num>
  <w:num w:numId="22">
    <w:abstractNumId w:val="3"/>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ar-SA" w:vendorID="64" w:dllVersion="131078" w:nlCheck="1" w:checkStyle="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66B6"/>
    <w:rsid w:val="00012523"/>
    <w:rsid w:val="00014AEC"/>
    <w:rsid w:val="00014EFF"/>
    <w:rsid w:val="00020494"/>
    <w:rsid w:val="000241C2"/>
    <w:rsid w:val="00042B48"/>
    <w:rsid w:val="00043A3F"/>
    <w:rsid w:val="00046383"/>
    <w:rsid w:val="0004693C"/>
    <w:rsid w:val="0005393E"/>
    <w:rsid w:val="0006557B"/>
    <w:rsid w:val="00090B80"/>
    <w:rsid w:val="000B40AC"/>
    <w:rsid w:val="000C0030"/>
    <w:rsid w:val="000C35A7"/>
    <w:rsid w:val="000D18EE"/>
    <w:rsid w:val="000E0A15"/>
    <w:rsid w:val="000E23EE"/>
    <w:rsid w:val="000E361A"/>
    <w:rsid w:val="000E44D7"/>
    <w:rsid w:val="000E4F2E"/>
    <w:rsid w:val="00102C49"/>
    <w:rsid w:val="00103AD6"/>
    <w:rsid w:val="00121F85"/>
    <w:rsid w:val="0013229F"/>
    <w:rsid w:val="00134D35"/>
    <w:rsid w:val="00144112"/>
    <w:rsid w:val="00144505"/>
    <w:rsid w:val="00147BF5"/>
    <w:rsid w:val="00151428"/>
    <w:rsid w:val="0015312A"/>
    <w:rsid w:val="0015588F"/>
    <w:rsid w:val="00161DCD"/>
    <w:rsid w:val="00161E6D"/>
    <w:rsid w:val="00164B4E"/>
    <w:rsid w:val="001713BA"/>
    <w:rsid w:val="001733A4"/>
    <w:rsid w:val="001737A1"/>
    <w:rsid w:val="001740C0"/>
    <w:rsid w:val="00175CA3"/>
    <w:rsid w:val="001778A8"/>
    <w:rsid w:val="00183698"/>
    <w:rsid w:val="001869EC"/>
    <w:rsid w:val="001A707E"/>
    <w:rsid w:val="001B1450"/>
    <w:rsid w:val="001B20A8"/>
    <w:rsid w:val="001C3400"/>
    <w:rsid w:val="001C49CB"/>
    <w:rsid w:val="001C7F2F"/>
    <w:rsid w:val="001D0724"/>
    <w:rsid w:val="001D3C99"/>
    <w:rsid w:val="001D7A65"/>
    <w:rsid w:val="001D7EC2"/>
    <w:rsid w:val="001E1BE3"/>
    <w:rsid w:val="001E1FDE"/>
    <w:rsid w:val="001E45E6"/>
    <w:rsid w:val="001E6F4F"/>
    <w:rsid w:val="001F0C7F"/>
    <w:rsid w:val="001F455D"/>
    <w:rsid w:val="001F7F75"/>
    <w:rsid w:val="00200D4D"/>
    <w:rsid w:val="00205074"/>
    <w:rsid w:val="002058A4"/>
    <w:rsid w:val="00206678"/>
    <w:rsid w:val="0021704B"/>
    <w:rsid w:val="002175FF"/>
    <w:rsid w:val="002201FF"/>
    <w:rsid w:val="002239CE"/>
    <w:rsid w:val="00237966"/>
    <w:rsid w:val="00237D09"/>
    <w:rsid w:val="00241992"/>
    <w:rsid w:val="002426BF"/>
    <w:rsid w:val="00274BC6"/>
    <w:rsid w:val="00280F43"/>
    <w:rsid w:val="00284633"/>
    <w:rsid w:val="002848CC"/>
    <w:rsid w:val="002875BC"/>
    <w:rsid w:val="002911D2"/>
    <w:rsid w:val="002933E5"/>
    <w:rsid w:val="002958E2"/>
    <w:rsid w:val="002A648B"/>
    <w:rsid w:val="002B594A"/>
    <w:rsid w:val="002C6654"/>
    <w:rsid w:val="002D22EB"/>
    <w:rsid w:val="002D2B46"/>
    <w:rsid w:val="002D3B86"/>
    <w:rsid w:val="002F2B87"/>
    <w:rsid w:val="002F5750"/>
    <w:rsid w:val="0030064E"/>
    <w:rsid w:val="00303182"/>
    <w:rsid w:val="00305191"/>
    <w:rsid w:val="003124C8"/>
    <w:rsid w:val="00314ADC"/>
    <w:rsid w:val="00315E11"/>
    <w:rsid w:val="00334D42"/>
    <w:rsid w:val="00335BD8"/>
    <w:rsid w:val="00351E0B"/>
    <w:rsid w:val="003534CF"/>
    <w:rsid w:val="00366094"/>
    <w:rsid w:val="00370153"/>
    <w:rsid w:val="003724E0"/>
    <w:rsid w:val="003871D3"/>
    <w:rsid w:val="003918D7"/>
    <w:rsid w:val="00392CBE"/>
    <w:rsid w:val="00395A92"/>
    <w:rsid w:val="003A1F5A"/>
    <w:rsid w:val="003A4483"/>
    <w:rsid w:val="003A5AD8"/>
    <w:rsid w:val="003B6933"/>
    <w:rsid w:val="003B7EB1"/>
    <w:rsid w:val="003C3CE2"/>
    <w:rsid w:val="003C469E"/>
    <w:rsid w:val="003C5331"/>
    <w:rsid w:val="003E013F"/>
    <w:rsid w:val="003E2279"/>
    <w:rsid w:val="003E2DB9"/>
    <w:rsid w:val="003E4334"/>
    <w:rsid w:val="003F0EB3"/>
    <w:rsid w:val="003F11B1"/>
    <w:rsid w:val="003F4424"/>
    <w:rsid w:val="00406ADF"/>
    <w:rsid w:val="004231C3"/>
    <w:rsid w:val="00430A91"/>
    <w:rsid w:val="0043797B"/>
    <w:rsid w:val="0044068E"/>
    <w:rsid w:val="004406D7"/>
    <w:rsid w:val="00442E6F"/>
    <w:rsid w:val="00443E51"/>
    <w:rsid w:val="00453C79"/>
    <w:rsid w:val="004540CA"/>
    <w:rsid w:val="0045590B"/>
    <w:rsid w:val="00463BA6"/>
    <w:rsid w:val="00463DB5"/>
    <w:rsid w:val="00464858"/>
    <w:rsid w:val="004675C2"/>
    <w:rsid w:val="00485B0A"/>
    <w:rsid w:val="00485FC3"/>
    <w:rsid w:val="00487CF6"/>
    <w:rsid w:val="004915DE"/>
    <w:rsid w:val="0049573E"/>
    <w:rsid w:val="00497F5A"/>
    <w:rsid w:val="004A0880"/>
    <w:rsid w:val="004A0B05"/>
    <w:rsid w:val="004A30F3"/>
    <w:rsid w:val="004B283F"/>
    <w:rsid w:val="004B31BE"/>
    <w:rsid w:val="004C1708"/>
    <w:rsid w:val="004D0C51"/>
    <w:rsid w:val="004D5347"/>
    <w:rsid w:val="004D6CD4"/>
    <w:rsid w:val="004D7062"/>
    <w:rsid w:val="004E0AFF"/>
    <w:rsid w:val="004E6E98"/>
    <w:rsid w:val="004F1D9A"/>
    <w:rsid w:val="004F736A"/>
    <w:rsid w:val="00501688"/>
    <w:rsid w:val="0050225B"/>
    <w:rsid w:val="00536F7D"/>
    <w:rsid w:val="005418F1"/>
    <w:rsid w:val="0056588E"/>
    <w:rsid w:val="00572878"/>
    <w:rsid w:val="00573298"/>
    <w:rsid w:val="00574896"/>
    <w:rsid w:val="005751FD"/>
    <w:rsid w:val="00582FCD"/>
    <w:rsid w:val="005840FD"/>
    <w:rsid w:val="005848E9"/>
    <w:rsid w:val="00595263"/>
    <w:rsid w:val="005A228F"/>
    <w:rsid w:val="005A418D"/>
    <w:rsid w:val="005B7FDB"/>
    <w:rsid w:val="005C1445"/>
    <w:rsid w:val="005C5EC7"/>
    <w:rsid w:val="005D17D0"/>
    <w:rsid w:val="005E2360"/>
    <w:rsid w:val="005F3897"/>
    <w:rsid w:val="005F6AEE"/>
    <w:rsid w:val="005F7F53"/>
    <w:rsid w:val="006009E3"/>
    <w:rsid w:val="00601FF7"/>
    <w:rsid w:val="006051A1"/>
    <w:rsid w:val="00610351"/>
    <w:rsid w:val="00620E7C"/>
    <w:rsid w:val="0062182E"/>
    <w:rsid w:val="0063519D"/>
    <w:rsid w:val="00636866"/>
    <w:rsid w:val="00637110"/>
    <w:rsid w:val="0064128E"/>
    <w:rsid w:val="00661496"/>
    <w:rsid w:val="00663E0C"/>
    <w:rsid w:val="00672FE1"/>
    <w:rsid w:val="00684F94"/>
    <w:rsid w:val="00685400"/>
    <w:rsid w:val="00690F64"/>
    <w:rsid w:val="006A0323"/>
    <w:rsid w:val="006A4F2D"/>
    <w:rsid w:val="006B2CD4"/>
    <w:rsid w:val="006B51A8"/>
    <w:rsid w:val="006C099B"/>
    <w:rsid w:val="006D149B"/>
    <w:rsid w:val="006D4486"/>
    <w:rsid w:val="006D65BB"/>
    <w:rsid w:val="006E0917"/>
    <w:rsid w:val="006E6383"/>
    <w:rsid w:val="006E74C4"/>
    <w:rsid w:val="00700071"/>
    <w:rsid w:val="0070084B"/>
    <w:rsid w:val="00701249"/>
    <w:rsid w:val="00702BF2"/>
    <w:rsid w:val="007030AE"/>
    <w:rsid w:val="00704506"/>
    <w:rsid w:val="0071002B"/>
    <w:rsid w:val="00712C6C"/>
    <w:rsid w:val="0071452B"/>
    <w:rsid w:val="00714CE1"/>
    <w:rsid w:val="00715CA8"/>
    <w:rsid w:val="007222FF"/>
    <w:rsid w:val="0072595F"/>
    <w:rsid w:val="00731755"/>
    <w:rsid w:val="00744036"/>
    <w:rsid w:val="00744C6B"/>
    <w:rsid w:val="00746A80"/>
    <w:rsid w:val="0075285C"/>
    <w:rsid w:val="007577CE"/>
    <w:rsid w:val="007578FD"/>
    <w:rsid w:val="00761400"/>
    <w:rsid w:val="007716A4"/>
    <w:rsid w:val="00775878"/>
    <w:rsid w:val="00780451"/>
    <w:rsid w:val="00781146"/>
    <w:rsid w:val="00787D2B"/>
    <w:rsid w:val="00792B8B"/>
    <w:rsid w:val="007941E8"/>
    <w:rsid w:val="00794EEE"/>
    <w:rsid w:val="007A255B"/>
    <w:rsid w:val="007A4412"/>
    <w:rsid w:val="007A5AE7"/>
    <w:rsid w:val="007A7ACB"/>
    <w:rsid w:val="007B3E00"/>
    <w:rsid w:val="007C15EC"/>
    <w:rsid w:val="007C3A21"/>
    <w:rsid w:val="007C6E2B"/>
    <w:rsid w:val="007D1F7E"/>
    <w:rsid w:val="007D4052"/>
    <w:rsid w:val="007D41DC"/>
    <w:rsid w:val="007D6D91"/>
    <w:rsid w:val="007E1C9E"/>
    <w:rsid w:val="007E479A"/>
    <w:rsid w:val="008026D4"/>
    <w:rsid w:val="00810AFF"/>
    <w:rsid w:val="00811B63"/>
    <w:rsid w:val="00814FEC"/>
    <w:rsid w:val="00816A31"/>
    <w:rsid w:val="0081747F"/>
    <w:rsid w:val="008207B0"/>
    <w:rsid w:val="00825D04"/>
    <w:rsid w:val="008260A5"/>
    <w:rsid w:val="008334A5"/>
    <w:rsid w:val="00835FAD"/>
    <w:rsid w:val="00841E6C"/>
    <w:rsid w:val="00844728"/>
    <w:rsid w:val="00847EE1"/>
    <w:rsid w:val="0086027A"/>
    <w:rsid w:val="008647F3"/>
    <w:rsid w:val="008652CA"/>
    <w:rsid w:val="008755F3"/>
    <w:rsid w:val="00876F22"/>
    <w:rsid w:val="0087787A"/>
    <w:rsid w:val="00882EF8"/>
    <w:rsid w:val="00891199"/>
    <w:rsid w:val="008A0AC2"/>
    <w:rsid w:val="008A0DF0"/>
    <w:rsid w:val="008A1E6F"/>
    <w:rsid w:val="008A5A6F"/>
    <w:rsid w:val="008A5B61"/>
    <w:rsid w:val="008B4444"/>
    <w:rsid w:val="008B7D3C"/>
    <w:rsid w:val="008D05F5"/>
    <w:rsid w:val="008D1783"/>
    <w:rsid w:val="008E36F6"/>
    <w:rsid w:val="008E715C"/>
    <w:rsid w:val="008F258F"/>
    <w:rsid w:val="008F7696"/>
    <w:rsid w:val="008F7DE8"/>
    <w:rsid w:val="0090172B"/>
    <w:rsid w:val="009025C2"/>
    <w:rsid w:val="0090692F"/>
    <w:rsid w:val="00907A69"/>
    <w:rsid w:val="009105E7"/>
    <w:rsid w:val="00925784"/>
    <w:rsid w:val="0092779E"/>
    <w:rsid w:val="00931A6D"/>
    <w:rsid w:val="00937519"/>
    <w:rsid w:val="009516C3"/>
    <w:rsid w:val="0095406E"/>
    <w:rsid w:val="0097124B"/>
    <w:rsid w:val="00971AD2"/>
    <w:rsid w:val="00973E77"/>
    <w:rsid w:val="00981544"/>
    <w:rsid w:val="0098156A"/>
    <w:rsid w:val="0098193F"/>
    <w:rsid w:val="00995549"/>
    <w:rsid w:val="009964A2"/>
    <w:rsid w:val="009977F5"/>
    <w:rsid w:val="009B18DA"/>
    <w:rsid w:val="009B5915"/>
    <w:rsid w:val="009B7C76"/>
    <w:rsid w:val="009C143C"/>
    <w:rsid w:val="009C27C4"/>
    <w:rsid w:val="009C37A9"/>
    <w:rsid w:val="009C3A05"/>
    <w:rsid w:val="009C6C4F"/>
    <w:rsid w:val="009D4632"/>
    <w:rsid w:val="009D6A86"/>
    <w:rsid w:val="009D7027"/>
    <w:rsid w:val="009E270C"/>
    <w:rsid w:val="009E6F6D"/>
    <w:rsid w:val="00A01BC8"/>
    <w:rsid w:val="00A06642"/>
    <w:rsid w:val="00A207C0"/>
    <w:rsid w:val="00A362E5"/>
    <w:rsid w:val="00A40A36"/>
    <w:rsid w:val="00A41A1A"/>
    <w:rsid w:val="00A46634"/>
    <w:rsid w:val="00A52EB1"/>
    <w:rsid w:val="00A64DAB"/>
    <w:rsid w:val="00A80DF5"/>
    <w:rsid w:val="00A83328"/>
    <w:rsid w:val="00A90DC2"/>
    <w:rsid w:val="00A90F81"/>
    <w:rsid w:val="00A9159D"/>
    <w:rsid w:val="00A93E89"/>
    <w:rsid w:val="00A94FE8"/>
    <w:rsid w:val="00A95124"/>
    <w:rsid w:val="00A973FD"/>
    <w:rsid w:val="00AB088B"/>
    <w:rsid w:val="00AD30D2"/>
    <w:rsid w:val="00AE57A3"/>
    <w:rsid w:val="00AF36C0"/>
    <w:rsid w:val="00B0421F"/>
    <w:rsid w:val="00B05B5E"/>
    <w:rsid w:val="00B076B5"/>
    <w:rsid w:val="00B235F4"/>
    <w:rsid w:val="00B36501"/>
    <w:rsid w:val="00B37603"/>
    <w:rsid w:val="00B40995"/>
    <w:rsid w:val="00B40F84"/>
    <w:rsid w:val="00B44B3D"/>
    <w:rsid w:val="00B47904"/>
    <w:rsid w:val="00B51BA4"/>
    <w:rsid w:val="00B54022"/>
    <w:rsid w:val="00B564BF"/>
    <w:rsid w:val="00B572C2"/>
    <w:rsid w:val="00B66B94"/>
    <w:rsid w:val="00B70E34"/>
    <w:rsid w:val="00B72154"/>
    <w:rsid w:val="00B75CB9"/>
    <w:rsid w:val="00B7609C"/>
    <w:rsid w:val="00B76355"/>
    <w:rsid w:val="00B91AAC"/>
    <w:rsid w:val="00B95CEE"/>
    <w:rsid w:val="00BA0338"/>
    <w:rsid w:val="00BB0731"/>
    <w:rsid w:val="00BB2565"/>
    <w:rsid w:val="00BB3406"/>
    <w:rsid w:val="00BC1270"/>
    <w:rsid w:val="00BC4AC8"/>
    <w:rsid w:val="00BD20E2"/>
    <w:rsid w:val="00BD24BB"/>
    <w:rsid w:val="00BD2EC5"/>
    <w:rsid w:val="00BD40C2"/>
    <w:rsid w:val="00BD7F9A"/>
    <w:rsid w:val="00BE3D5B"/>
    <w:rsid w:val="00BE5E0B"/>
    <w:rsid w:val="00BF520E"/>
    <w:rsid w:val="00BF6673"/>
    <w:rsid w:val="00BF6818"/>
    <w:rsid w:val="00C0309C"/>
    <w:rsid w:val="00C116F8"/>
    <w:rsid w:val="00C1320F"/>
    <w:rsid w:val="00C13EE6"/>
    <w:rsid w:val="00C1629E"/>
    <w:rsid w:val="00C31DCA"/>
    <w:rsid w:val="00C31DF3"/>
    <w:rsid w:val="00C32D00"/>
    <w:rsid w:val="00C35B0F"/>
    <w:rsid w:val="00C37B2F"/>
    <w:rsid w:val="00C41F77"/>
    <w:rsid w:val="00C428C1"/>
    <w:rsid w:val="00C47580"/>
    <w:rsid w:val="00C507F3"/>
    <w:rsid w:val="00C60419"/>
    <w:rsid w:val="00C62DEB"/>
    <w:rsid w:val="00C66AE7"/>
    <w:rsid w:val="00C73E2D"/>
    <w:rsid w:val="00C924FC"/>
    <w:rsid w:val="00CA2761"/>
    <w:rsid w:val="00CA5980"/>
    <w:rsid w:val="00CB3E59"/>
    <w:rsid w:val="00CC0592"/>
    <w:rsid w:val="00CD1BCB"/>
    <w:rsid w:val="00CE72B4"/>
    <w:rsid w:val="00D064C5"/>
    <w:rsid w:val="00D1235C"/>
    <w:rsid w:val="00D14A37"/>
    <w:rsid w:val="00D221A6"/>
    <w:rsid w:val="00D23E3C"/>
    <w:rsid w:val="00D251A7"/>
    <w:rsid w:val="00D34FFC"/>
    <w:rsid w:val="00D4042F"/>
    <w:rsid w:val="00D47675"/>
    <w:rsid w:val="00D51EDD"/>
    <w:rsid w:val="00D53914"/>
    <w:rsid w:val="00D54219"/>
    <w:rsid w:val="00D632B0"/>
    <w:rsid w:val="00D679CD"/>
    <w:rsid w:val="00D72FCD"/>
    <w:rsid w:val="00D762F8"/>
    <w:rsid w:val="00D82570"/>
    <w:rsid w:val="00D8564A"/>
    <w:rsid w:val="00D90736"/>
    <w:rsid w:val="00D94FD2"/>
    <w:rsid w:val="00D965B0"/>
    <w:rsid w:val="00DA3416"/>
    <w:rsid w:val="00DA738D"/>
    <w:rsid w:val="00DA77D7"/>
    <w:rsid w:val="00DB6525"/>
    <w:rsid w:val="00DB7665"/>
    <w:rsid w:val="00DC4243"/>
    <w:rsid w:val="00DC5BCB"/>
    <w:rsid w:val="00DD0F73"/>
    <w:rsid w:val="00DD261F"/>
    <w:rsid w:val="00DD3066"/>
    <w:rsid w:val="00DD6DD4"/>
    <w:rsid w:val="00DE0129"/>
    <w:rsid w:val="00DE202F"/>
    <w:rsid w:val="00DE210D"/>
    <w:rsid w:val="00DE21D3"/>
    <w:rsid w:val="00DE79E7"/>
    <w:rsid w:val="00DF15BD"/>
    <w:rsid w:val="00DF2534"/>
    <w:rsid w:val="00DF316D"/>
    <w:rsid w:val="00DF3479"/>
    <w:rsid w:val="00DF5D71"/>
    <w:rsid w:val="00DF649F"/>
    <w:rsid w:val="00E02374"/>
    <w:rsid w:val="00E03CA1"/>
    <w:rsid w:val="00E07080"/>
    <w:rsid w:val="00E102D1"/>
    <w:rsid w:val="00E13843"/>
    <w:rsid w:val="00E14DDD"/>
    <w:rsid w:val="00E15219"/>
    <w:rsid w:val="00E21EFF"/>
    <w:rsid w:val="00E2620E"/>
    <w:rsid w:val="00E26D30"/>
    <w:rsid w:val="00E3678C"/>
    <w:rsid w:val="00E37789"/>
    <w:rsid w:val="00E44CD7"/>
    <w:rsid w:val="00E44FB7"/>
    <w:rsid w:val="00E52271"/>
    <w:rsid w:val="00E62B63"/>
    <w:rsid w:val="00E665B2"/>
    <w:rsid w:val="00E6712A"/>
    <w:rsid w:val="00E71255"/>
    <w:rsid w:val="00E71C66"/>
    <w:rsid w:val="00E727A2"/>
    <w:rsid w:val="00E76722"/>
    <w:rsid w:val="00E8474E"/>
    <w:rsid w:val="00E911BB"/>
    <w:rsid w:val="00E91DBE"/>
    <w:rsid w:val="00E97D06"/>
    <w:rsid w:val="00EA1F0B"/>
    <w:rsid w:val="00EA3C65"/>
    <w:rsid w:val="00EA3FB0"/>
    <w:rsid w:val="00EB14C9"/>
    <w:rsid w:val="00EB3856"/>
    <w:rsid w:val="00EB38C3"/>
    <w:rsid w:val="00EB6264"/>
    <w:rsid w:val="00EB792A"/>
    <w:rsid w:val="00EC101F"/>
    <w:rsid w:val="00EC6277"/>
    <w:rsid w:val="00ED2286"/>
    <w:rsid w:val="00ED431D"/>
    <w:rsid w:val="00EE2843"/>
    <w:rsid w:val="00EE535D"/>
    <w:rsid w:val="00F0694C"/>
    <w:rsid w:val="00F212C3"/>
    <w:rsid w:val="00F214E3"/>
    <w:rsid w:val="00F24D0F"/>
    <w:rsid w:val="00F25952"/>
    <w:rsid w:val="00F356F4"/>
    <w:rsid w:val="00F43CB5"/>
    <w:rsid w:val="00F46955"/>
    <w:rsid w:val="00F51127"/>
    <w:rsid w:val="00F51600"/>
    <w:rsid w:val="00F52152"/>
    <w:rsid w:val="00F528E5"/>
    <w:rsid w:val="00F64310"/>
    <w:rsid w:val="00F66ABC"/>
    <w:rsid w:val="00F6777C"/>
    <w:rsid w:val="00F67F82"/>
    <w:rsid w:val="00F97BB3"/>
    <w:rsid w:val="00F97BDE"/>
    <w:rsid w:val="00FA77AE"/>
    <w:rsid w:val="00FA7F78"/>
    <w:rsid w:val="00FB1256"/>
    <w:rsid w:val="00FC5495"/>
    <w:rsid w:val="00FD1E92"/>
    <w:rsid w:val="00FE207B"/>
    <w:rsid w:val="00FF6682"/>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B2F6BCC"/>
  <w15:docId w15:val="{4DC96578-61C1-42B9-AE6D-256A065CD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778A8"/>
    <w:pPr>
      <w:keepLines/>
      <w:bidi/>
      <w:spacing w:before="160"/>
    </w:pPr>
    <w:rPr>
      <w:rFonts w:ascii="Traditional Arabic" w:hAnsi="Traditional Arabic" w:cs="Traditional Arabic"/>
      <w:sz w:val="24"/>
      <w:szCs w:val="28"/>
      <w:lang w:val="en-GB" w:eastAsia="es-ES"/>
    </w:rPr>
  </w:style>
  <w:style w:type="paragraph" w:styleId="Heading1">
    <w:name w:val="heading 1"/>
    <w:aliases w:val="h1"/>
    <w:basedOn w:val="Normal"/>
    <w:next w:val="Normal"/>
    <w:link w:val="Heading1Char"/>
    <w:qFormat/>
    <w:rsid w:val="001778A8"/>
    <w:pPr>
      <w:keepNext/>
      <w:tabs>
        <w:tab w:val="right" w:pos="9356"/>
      </w:tabs>
      <w:spacing w:before="0"/>
      <w:outlineLvl w:val="0"/>
    </w:pPr>
    <w:rPr>
      <w:rFonts w:eastAsiaTheme="majorEastAsia"/>
      <w:b/>
      <w:bCs/>
      <w:color w:val="004386"/>
      <w:kern w:val="32"/>
      <w:sz w:val="36"/>
      <w:szCs w:val="32"/>
    </w:rPr>
  </w:style>
  <w:style w:type="paragraph" w:styleId="Heading2">
    <w:name w:val="heading 2"/>
    <w:aliases w:val="h2"/>
    <w:basedOn w:val="Heading1"/>
    <w:next w:val="Normal"/>
    <w:link w:val="Heading2Char"/>
    <w:qFormat/>
    <w:rsid w:val="001778A8"/>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1778A8"/>
    <w:pPr>
      <w:pBdr>
        <w:bottom w:val="none" w:sz="0" w:space="0" w:color="auto"/>
      </w:pBdr>
      <w:spacing w:before="320"/>
      <w:outlineLvl w:val="2"/>
    </w:pPr>
    <w:rPr>
      <w:bCs/>
      <w:i w:val="0"/>
      <w:iCs w:val="0"/>
      <w:sz w:val="28"/>
      <w:szCs w:val="36"/>
    </w:rPr>
  </w:style>
  <w:style w:type="paragraph" w:styleId="Heading4">
    <w:name w:val="heading 4"/>
    <w:aliases w:val="h4"/>
    <w:basedOn w:val="Heading3"/>
    <w:next w:val="Normal"/>
    <w:link w:val="Heading4Char"/>
    <w:qFormat/>
    <w:rsid w:val="001778A8"/>
    <w:pPr>
      <w:spacing w:before="240"/>
      <w:outlineLvl w:val="3"/>
    </w:pPr>
    <w:rPr>
      <w:rFonts w:eastAsia="Traditional Arabic"/>
      <w:szCs w:val="28"/>
    </w:rPr>
  </w:style>
  <w:style w:type="paragraph" w:styleId="Heading5">
    <w:name w:val="heading 5"/>
    <w:basedOn w:val="Normal"/>
    <w:next w:val="Normal"/>
    <w:link w:val="Heading5Char"/>
    <w:qFormat/>
    <w:rsid w:val="001778A8"/>
    <w:pPr>
      <w:keepNext/>
      <w:outlineLvl w:val="4"/>
    </w:pPr>
    <w:rPr>
      <w:b/>
      <w:bCs/>
    </w:rPr>
  </w:style>
  <w:style w:type="paragraph" w:styleId="Heading6">
    <w:name w:val="heading 6"/>
    <w:basedOn w:val="Normal"/>
    <w:next w:val="Normal"/>
    <w:link w:val="Heading6Char"/>
    <w:uiPriority w:val="9"/>
    <w:unhideWhenUsed/>
    <w:qFormat/>
    <w:rsid w:val="001778A8"/>
    <w:pPr>
      <w:keepNext/>
      <w:spacing w:before="40"/>
      <w:outlineLvl w:val="5"/>
    </w:pPr>
    <w:rPr>
      <w:rFonts w:asciiTheme="majorHAnsi" w:eastAsiaTheme="majorEastAsia" w:hAnsiTheme="majorHAnsi" w:cstheme="majorBidi"/>
      <w:color w:val="2B490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1778A8"/>
    <w:rPr>
      <w:rFonts w:ascii="Traditional Arabic" w:eastAsiaTheme="majorEastAsia" w:hAnsi="Traditional Arabic" w:cs="Traditional Arabic"/>
      <w:b/>
      <w:bCs/>
      <w:color w:val="004386"/>
      <w:kern w:val="32"/>
      <w:sz w:val="36"/>
      <w:szCs w:val="32"/>
      <w:lang w:val="en-GB" w:eastAsia="es-ES"/>
    </w:rPr>
  </w:style>
  <w:style w:type="character" w:customStyle="1" w:styleId="Heading2Char">
    <w:name w:val="Heading 2 Char"/>
    <w:aliases w:val="h2 Char"/>
    <w:basedOn w:val="DefaultParagraphFont"/>
    <w:link w:val="Heading2"/>
    <w:rsid w:val="001778A8"/>
    <w:rPr>
      <w:rFonts w:ascii="Traditional Arabic" w:eastAsiaTheme="majorEastAsia" w:hAnsi="Traditional Arabic" w:cs="Traditional Arabic"/>
      <w:b/>
      <w:i/>
      <w:iCs/>
      <w:color w:val="004386" w:themeColor="text2"/>
      <w:kern w:val="32"/>
      <w:sz w:val="36"/>
      <w:szCs w:val="32"/>
      <w:lang w:val="en-GB" w:eastAsia="es-ES"/>
    </w:rPr>
  </w:style>
  <w:style w:type="character" w:customStyle="1" w:styleId="Heading3Char">
    <w:name w:val="Heading 3 Char"/>
    <w:aliases w:val="h3 Char"/>
    <w:basedOn w:val="DefaultParagraphFont"/>
    <w:link w:val="Heading3"/>
    <w:rsid w:val="001778A8"/>
    <w:rPr>
      <w:rFonts w:ascii="Traditional Arabic" w:eastAsiaTheme="majorEastAsia" w:hAnsi="Traditional Arabic" w:cs="Traditional Arabic"/>
      <w:b/>
      <w:bCs/>
      <w:color w:val="004386" w:themeColor="text2"/>
      <w:kern w:val="32"/>
      <w:sz w:val="28"/>
      <w:szCs w:val="36"/>
      <w:lang w:val="en-GB" w:eastAsia="es-ES"/>
    </w:rPr>
  </w:style>
  <w:style w:type="character" w:customStyle="1" w:styleId="Heading4Char">
    <w:name w:val="Heading 4 Char"/>
    <w:aliases w:val="h4 Char"/>
    <w:basedOn w:val="DefaultParagraphFont"/>
    <w:link w:val="Heading4"/>
    <w:rsid w:val="001778A8"/>
    <w:rPr>
      <w:rFonts w:ascii="Traditional Arabic" w:eastAsia="Traditional Arabic" w:hAnsi="Traditional Arabic" w:cs="Traditional Arabic"/>
      <w:b/>
      <w:bCs/>
      <w:color w:val="004386" w:themeColor="text2"/>
      <w:kern w:val="32"/>
      <w:sz w:val="28"/>
      <w:szCs w:val="28"/>
      <w:lang w:val="en-GB" w:eastAsia="es-ES"/>
    </w:rPr>
  </w:style>
  <w:style w:type="character" w:customStyle="1" w:styleId="Heading5Char">
    <w:name w:val="Heading 5 Char"/>
    <w:basedOn w:val="DefaultParagraphFont"/>
    <w:link w:val="Heading5"/>
    <w:rsid w:val="001778A8"/>
    <w:rPr>
      <w:rFonts w:ascii="Traditional Arabic" w:hAnsi="Traditional Arabic" w:cs="Traditional Arabic"/>
      <w:b/>
      <w:bCs/>
      <w:sz w:val="24"/>
      <w:szCs w:val="28"/>
      <w:lang w:val="en-GB" w:eastAsia="es-ES"/>
    </w:rPr>
  </w:style>
  <w:style w:type="paragraph" w:styleId="BalloonText">
    <w:name w:val="Balloon Text"/>
    <w:basedOn w:val="Normal"/>
    <w:link w:val="BalloonTextChar"/>
    <w:uiPriority w:val="99"/>
    <w:semiHidden/>
    <w:unhideWhenUsed/>
    <w:rsid w:val="001778A8"/>
    <w:pPr>
      <w:spacing w:before="0"/>
    </w:pPr>
    <w:rPr>
      <w:rFonts w:cs="Tahoma"/>
      <w:sz w:val="16"/>
      <w:szCs w:val="16"/>
    </w:rPr>
  </w:style>
  <w:style w:type="character" w:customStyle="1" w:styleId="BalloonTextChar">
    <w:name w:val="Balloon Text Char"/>
    <w:basedOn w:val="DefaultParagraphFont"/>
    <w:link w:val="BalloonText"/>
    <w:uiPriority w:val="99"/>
    <w:semiHidden/>
    <w:rsid w:val="001778A8"/>
    <w:rPr>
      <w:rFonts w:ascii="Traditional Arabic" w:hAnsi="Traditional Arabic" w:cs="Tahoma"/>
      <w:sz w:val="16"/>
      <w:szCs w:val="16"/>
      <w:lang w:val="en-GB" w:eastAsia="es-ES"/>
    </w:rPr>
  </w:style>
  <w:style w:type="paragraph" w:customStyle="1" w:styleId="bullet">
    <w:name w:val="bullet"/>
    <w:aliases w:val="b"/>
    <w:basedOn w:val="Normal"/>
    <w:qFormat/>
    <w:rsid w:val="001778A8"/>
    <w:pPr>
      <w:numPr>
        <w:numId w:val="1"/>
      </w:numPr>
      <w:spacing w:before="80"/>
    </w:pPr>
  </w:style>
  <w:style w:type="paragraph" w:styleId="Caption">
    <w:name w:val="caption"/>
    <w:basedOn w:val="Normal"/>
    <w:next w:val="Normal"/>
    <w:uiPriority w:val="35"/>
    <w:semiHidden/>
    <w:qFormat/>
    <w:rsid w:val="001778A8"/>
    <w:pPr>
      <w:spacing w:before="0" w:after="200"/>
    </w:pPr>
    <w:rPr>
      <w:rFonts w:eastAsiaTheme="minorHAnsi" w:cstheme="minorBidi"/>
      <w:b/>
      <w:color w:val="579305" w:themeColor="accent1"/>
      <w:sz w:val="18"/>
      <w:szCs w:val="18"/>
      <w:lang w:eastAsia="en-US"/>
    </w:rPr>
  </w:style>
  <w:style w:type="character" w:styleId="CommentReference">
    <w:name w:val="annotation reference"/>
    <w:basedOn w:val="DefaultParagraphFont"/>
    <w:uiPriority w:val="99"/>
    <w:semiHidden/>
    <w:unhideWhenUsed/>
    <w:rsid w:val="001778A8"/>
    <w:rPr>
      <w:sz w:val="16"/>
      <w:szCs w:val="16"/>
    </w:rPr>
  </w:style>
  <w:style w:type="paragraph" w:styleId="CommentText">
    <w:name w:val="annotation text"/>
    <w:basedOn w:val="Normal"/>
    <w:link w:val="CommentTextChar"/>
    <w:uiPriority w:val="99"/>
    <w:semiHidden/>
    <w:unhideWhenUsed/>
    <w:rsid w:val="001778A8"/>
    <w:rPr>
      <w:szCs w:val="20"/>
    </w:rPr>
  </w:style>
  <w:style w:type="character" w:customStyle="1" w:styleId="CommentTextChar">
    <w:name w:val="Comment Text Char"/>
    <w:basedOn w:val="DefaultParagraphFont"/>
    <w:link w:val="CommentText"/>
    <w:uiPriority w:val="99"/>
    <w:semiHidden/>
    <w:rsid w:val="001778A8"/>
    <w:rPr>
      <w:rFonts w:ascii="Traditional Arabic" w:hAnsi="Traditional Arabic" w:cs="Traditional Arabic"/>
      <w:sz w:val="24"/>
      <w:lang w:val="en-GB" w:eastAsia="es-ES"/>
    </w:rPr>
  </w:style>
  <w:style w:type="paragraph" w:styleId="CommentSubject">
    <w:name w:val="annotation subject"/>
    <w:basedOn w:val="CommentText"/>
    <w:next w:val="CommentText"/>
    <w:link w:val="CommentSubjectChar"/>
    <w:uiPriority w:val="99"/>
    <w:semiHidden/>
    <w:unhideWhenUsed/>
    <w:rsid w:val="001778A8"/>
    <w:rPr>
      <w:b/>
    </w:rPr>
  </w:style>
  <w:style w:type="character" w:customStyle="1" w:styleId="CommentSubjectChar">
    <w:name w:val="Comment Subject Char"/>
    <w:basedOn w:val="CommentTextChar"/>
    <w:link w:val="CommentSubject"/>
    <w:uiPriority w:val="99"/>
    <w:semiHidden/>
    <w:rsid w:val="001778A8"/>
    <w:rPr>
      <w:rFonts w:ascii="Traditional Arabic" w:hAnsi="Traditional Arabic" w:cs="Traditional Arabic"/>
      <w:b/>
      <w:sz w:val="24"/>
      <w:lang w:val="en-GB" w:eastAsia="es-ES"/>
    </w:rPr>
  </w:style>
  <w:style w:type="character" w:styleId="Emphasis">
    <w:name w:val="Emphasis"/>
    <w:uiPriority w:val="99"/>
    <w:qFormat/>
    <w:rsid w:val="001778A8"/>
    <w:rPr>
      <w:b/>
      <w:i w:val="0"/>
      <w:iCs/>
    </w:rPr>
  </w:style>
  <w:style w:type="character" w:styleId="FollowedHyperlink">
    <w:name w:val="FollowedHyperlink"/>
    <w:basedOn w:val="DefaultParagraphFont"/>
    <w:uiPriority w:val="99"/>
    <w:semiHidden/>
    <w:unhideWhenUsed/>
    <w:rsid w:val="001778A8"/>
    <w:rPr>
      <w:color w:val="004386"/>
      <w:u w:val="single"/>
    </w:rPr>
  </w:style>
  <w:style w:type="paragraph" w:styleId="Footer">
    <w:name w:val="footer"/>
    <w:basedOn w:val="Normal"/>
    <w:link w:val="FooterChar"/>
    <w:rsid w:val="001778A8"/>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1778A8"/>
    <w:rPr>
      <w:rFonts w:ascii="Traditional Arabic" w:hAnsi="Traditional Arabic" w:cs="Traditional Arabic"/>
      <w:color w:val="004386" w:themeColor="text2"/>
      <w:sz w:val="24"/>
      <w:szCs w:val="28"/>
      <w:lang w:val="en-GB" w:eastAsia="es-ES"/>
    </w:rPr>
  </w:style>
  <w:style w:type="character" w:styleId="FootnoteReference">
    <w:name w:val="footnote reference"/>
    <w:basedOn w:val="DefaultParagraphFont"/>
    <w:rsid w:val="001778A8"/>
    <w:rPr>
      <w:vertAlign w:val="superscript"/>
    </w:rPr>
  </w:style>
  <w:style w:type="paragraph" w:styleId="FootnoteText">
    <w:name w:val="footnote text"/>
    <w:basedOn w:val="Normal"/>
    <w:link w:val="FootnoteTextChar"/>
    <w:rsid w:val="00183698"/>
    <w:pPr>
      <w:spacing w:before="0"/>
    </w:pPr>
    <w:rPr>
      <w:sz w:val="20"/>
      <w:szCs w:val="20"/>
    </w:rPr>
  </w:style>
  <w:style w:type="character" w:customStyle="1" w:styleId="FootnoteTextChar">
    <w:name w:val="Footnote Text Char"/>
    <w:basedOn w:val="DefaultParagraphFont"/>
    <w:link w:val="FootnoteText"/>
    <w:rsid w:val="00183698"/>
    <w:rPr>
      <w:rFonts w:ascii="Traditional Arabic" w:hAnsi="Traditional Arabic" w:cs="Traditional Arabic"/>
      <w:lang w:val="en-GB" w:eastAsia="es-ES"/>
    </w:rPr>
  </w:style>
  <w:style w:type="paragraph" w:styleId="Header">
    <w:name w:val="header"/>
    <w:basedOn w:val="Normal"/>
    <w:link w:val="HeaderChar"/>
    <w:rsid w:val="001778A8"/>
    <w:pPr>
      <w:pBdr>
        <w:bottom w:val="single" w:sz="4" w:space="4" w:color="004386" w:themeColor="text2"/>
      </w:pBdr>
      <w:tabs>
        <w:tab w:val="center" w:pos="4320"/>
        <w:tab w:val="right" w:pos="8640"/>
      </w:tabs>
      <w:spacing w:before="0"/>
    </w:pPr>
    <w:rPr>
      <w:b/>
      <w:bCs/>
      <w:color w:val="579305" w:themeColor="accent1"/>
      <w:sz w:val="28"/>
      <w:lang w:val="fr-FR" w:eastAsia="en-US" w:bidi="ar-TN"/>
    </w:rPr>
  </w:style>
  <w:style w:type="character" w:customStyle="1" w:styleId="HeaderChar">
    <w:name w:val="Header Char"/>
    <w:basedOn w:val="DefaultParagraphFont"/>
    <w:link w:val="Header"/>
    <w:rsid w:val="001778A8"/>
    <w:rPr>
      <w:rFonts w:ascii="Traditional Arabic" w:hAnsi="Traditional Arabic" w:cs="Traditional Arabic"/>
      <w:b/>
      <w:bCs/>
      <w:color w:val="579305" w:themeColor="accent1"/>
      <w:sz w:val="28"/>
      <w:szCs w:val="28"/>
      <w:lang w:bidi="ar-TN"/>
    </w:rPr>
  </w:style>
  <w:style w:type="character" w:customStyle="1" w:styleId="Heading6Char">
    <w:name w:val="Heading 6 Char"/>
    <w:basedOn w:val="DefaultParagraphFont"/>
    <w:link w:val="Heading6"/>
    <w:uiPriority w:val="9"/>
    <w:rsid w:val="001778A8"/>
    <w:rPr>
      <w:rFonts w:asciiTheme="majorHAnsi" w:eastAsiaTheme="majorEastAsia" w:hAnsiTheme="majorHAnsi" w:cstheme="majorBidi"/>
      <w:color w:val="2B4902" w:themeColor="accent1" w:themeShade="7F"/>
      <w:sz w:val="24"/>
      <w:szCs w:val="28"/>
      <w:lang w:val="en-GB" w:eastAsia="es-ES"/>
    </w:rPr>
  </w:style>
  <w:style w:type="character" w:styleId="Hyperlink">
    <w:name w:val="Hyperlink"/>
    <w:basedOn w:val="DefaultParagraphFont"/>
    <w:rsid w:val="00573298"/>
    <w:rPr>
      <w:color w:val="004386" w:themeColor="hyperlink"/>
      <w:u w:val="single" w:color="004386" w:themeColor="text2"/>
    </w:rPr>
  </w:style>
  <w:style w:type="paragraph" w:customStyle="1" w:styleId="table">
    <w:name w:val="table"/>
    <w:aliases w:val="t"/>
    <w:basedOn w:val="Normal"/>
    <w:qFormat/>
    <w:rsid w:val="00BD20E2"/>
    <w:pPr>
      <w:spacing w:before="40" w:after="40" w:line="192" w:lineRule="auto"/>
    </w:pPr>
    <w:rPr>
      <w:sz w:val="28"/>
    </w:rPr>
  </w:style>
  <w:style w:type="paragraph" w:customStyle="1" w:styleId="Latinurl">
    <w:name w:val="Latin url"/>
    <w:basedOn w:val="table"/>
    <w:qFormat/>
    <w:rsid w:val="001778A8"/>
    <w:rPr>
      <w:rFonts w:ascii="Calibri" w:hAnsi="Calibri"/>
      <w:sz w:val="22"/>
      <w:szCs w:val="22"/>
    </w:rPr>
  </w:style>
  <w:style w:type="paragraph" w:styleId="ListParagraph">
    <w:name w:val="List Paragraph"/>
    <w:basedOn w:val="Normal"/>
    <w:uiPriority w:val="34"/>
    <w:qFormat/>
    <w:rsid w:val="001778A8"/>
    <w:pPr>
      <w:ind w:left="720"/>
      <w:contextualSpacing/>
    </w:pPr>
  </w:style>
  <w:style w:type="paragraph" w:customStyle="1" w:styleId="Moduledescription">
    <w:name w:val="Module description"/>
    <w:basedOn w:val="Normal"/>
    <w:qFormat/>
    <w:rsid w:val="001778A8"/>
    <w:rPr>
      <w:b/>
      <w:bCs/>
      <w:color w:val="579305" w:themeColor="accent1"/>
    </w:rPr>
  </w:style>
  <w:style w:type="character" w:styleId="PageNumber">
    <w:name w:val="page number"/>
    <w:basedOn w:val="DefaultParagraphFont"/>
    <w:uiPriority w:val="99"/>
    <w:semiHidden/>
    <w:unhideWhenUsed/>
    <w:rsid w:val="001778A8"/>
    <w:rPr>
      <w:rFonts w:asciiTheme="minorHAnsi" w:hAnsiTheme="minorHAnsi"/>
    </w:rPr>
  </w:style>
  <w:style w:type="paragraph" w:customStyle="1" w:styleId="tablebullet">
    <w:name w:val="table bullet"/>
    <w:basedOn w:val="table"/>
    <w:qFormat/>
    <w:rsid w:val="001778A8"/>
    <w:pPr>
      <w:numPr>
        <w:numId w:val="2"/>
      </w:numPr>
    </w:pPr>
  </w:style>
  <w:style w:type="table" w:styleId="TableGrid">
    <w:name w:val="Table Grid"/>
    <w:basedOn w:val="TableNormal"/>
    <w:uiPriority w:val="59"/>
    <w:rsid w:val="0017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9C143C"/>
    <w:rPr>
      <w:b/>
      <w:bCs/>
      <w:color w:val="004386" w:themeColor="text2"/>
    </w:rPr>
  </w:style>
  <w:style w:type="paragraph" w:customStyle="1" w:styleId="list1">
    <w:name w:val="list1"/>
    <w:basedOn w:val="Normal"/>
    <w:qFormat/>
    <w:rsid w:val="004D6CD4"/>
    <w:pPr>
      <w:numPr>
        <w:numId w:val="3"/>
      </w:numPr>
      <w:ind w:left="397" w:hanging="397"/>
    </w:pPr>
  </w:style>
  <w:style w:type="paragraph" w:customStyle="1" w:styleId="list2">
    <w:name w:val="list2"/>
    <w:basedOn w:val="list1"/>
    <w:qFormat/>
    <w:rsid w:val="004D6CD4"/>
    <w:pPr>
      <w:numPr>
        <w:numId w:val="4"/>
      </w:numPr>
      <w:ind w:left="794" w:hanging="397"/>
    </w:pPr>
  </w:style>
  <w:style w:type="paragraph" w:customStyle="1" w:styleId="Handout2casestudy">
    <w:name w:val="Handout 2 case study"/>
    <w:basedOn w:val="Normal"/>
    <w:qFormat/>
    <w:rsid w:val="00103AD6"/>
    <w:pPr>
      <w:spacing w:before="720" w:after="240"/>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5584">
      <w:bodyDiv w:val="1"/>
      <w:marLeft w:val="0"/>
      <w:marRight w:val="0"/>
      <w:marTop w:val="0"/>
      <w:marBottom w:val="0"/>
      <w:divBdr>
        <w:top w:val="none" w:sz="0" w:space="0" w:color="auto"/>
        <w:left w:val="none" w:sz="0" w:space="0" w:color="auto"/>
        <w:bottom w:val="none" w:sz="0" w:space="0" w:color="auto"/>
        <w:right w:val="none" w:sz="0" w:space="0" w:color="auto"/>
      </w:divBdr>
    </w:div>
    <w:div w:id="208343004">
      <w:bodyDiv w:val="1"/>
      <w:marLeft w:val="0"/>
      <w:marRight w:val="0"/>
      <w:marTop w:val="0"/>
      <w:marBottom w:val="0"/>
      <w:divBdr>
        <w:top w:val="none" w:sz="0" w:space="0" w:color="auto"/>
        <w:left w:val="none" w:sz="0" w:space="0" w:color="auto"/>
        <w:bottom w:val="none" w:sz="0" w:space="0" w:color="auto"/>
        <w:right w:val="none" w:sz="0" w:space="0" w:color="auto"/>
      </w:divBdr>
    </w:div>
    <w:div w:id="778140674">
      <w:bodyDiv w:val="1"/>
      <w:marLeft w:val="0"/>
      <w:marRight w:val="0"/>
      <w:marTop w:val="0"/>
      <w:marBottom w:val="0"/>
      <w:divBdr>
        <w:top w:val="none" w:sz="0" w:space="0" w:color="auto"/>
        <w:left w:val="none" w:sz="0" w:space="0" w:color="auto"/>
        <w:bottom w:val="none" w:sz="0" w:space="0" w:color="auto"/>
        <w:right w:val="none" w:sz="0" w:space="0" w:color="auto"/>
      </w:divBdr>
    </w:div>
    <w:div w:id="841704834">
      <w:bodyDiv w:val="1"/>
      <w:marLeft w:val="0"/>
      <w:marRight w:val="0"/>
      <w:marTop w:val="0"/>
      <w:marBottom w:val="0"/>
      <w:divBdr>
        <w:top w:val="none" w:sz="0" w:space="0" w:color="auto"/>
        <w:left w:val="none" w:sz="0" w:space="0" w:color="auto"/>
        <w:bottom w:val="none" w:sz="0" w:space="0" w:color="auto"/>
        <w:right w:val="none" w:sz="0" w:space="0" w:color="auto"/>
      </w:divBdr>
    </w:div>
    <w:div w:id="1236628047">
      <w:bodyDiv w:val="1"/>
      <w:marLeft w:val="0"/>
      <w:marRight w:val="0"/>
      <w:marTop w:val="0"/>
      <w:marBottom w:val="0"/>
      <w:divBdr>
        <w:top w:val="none" w:sz="0" w:space="0" w:color="auto"/>
        <w:left w:val="none" w:sz="0" w:space="0" w:color="auto"/>
        <w:bottom w:val="none" w:sz="0" w:space="0" w:color="auto"/>
        <w:right w:val="none" w:sz="0" w:space="0" w:color="auto"/>
      </w:divBdr>
    </w:div>
    <w:div w:id="1688483752">
      <w:bodyDiv w:val="1"/>
      <w:marLeft w:val="0"/>
      <w:marRight w:val="0"/>
      <w:marTop w:val="0"/>
      <w:marBottom w:val="0"/>
      <w:divBdr>
        <w:top w:val="none" w:sz="0" w:space="0" w:color="auto"/>
        <w:left w:val="none" w:sz="0" w:space="0" w:color="auto"/>
        <w:bottom w:val="none" w:sz="0" w:space="0" w:color="auto"/>
        <w:right w:val="none" w:sz="0" w:space="0" w:color="auto"/>
      </w:divBdr>
    </w:div>
    <w:div w:id="1822119554">
      <w:bodyDiv w:val="1"/>
      <w:marLeft w:val="0"/>
      <w:marRight w:val="0"/>
      <w:marTop w:val="0"/>
      <w:marBottom w:val="0"/>
      <w:divBdr>
        <w:top w:val="none" w:sz="0" w:space="0" w:color="auto"/>
        <w:left w:val="none" w:sz="0" w:space="0" w:color="auto"/>
        <w:bottom w:val="none" w:sz="0" w:space="0" w:color="auto"/>
        <w:right w:val="none" w:sz="0" w:space="0" w:color="auto"/>
      </w:divBdr>
    </w:div>
    <w:div w:id="1981615717">
      <w:bodyDiv w:val="1"/>
      <w:marLeft w:val="0"/>
      <w:marRight w:val="0"/>
      <w:marTop w:val="0"/>
      <w:marBottom w:val="0"/>
      <w:divBdr>
        <w:top w:val="none" w:sz="0" w:space="0" w:color="auto"/>
        <w:left w:val="none" w:sz="0" w:space="0" w:color="auto"/>
        <w:bottom w:val="none" w:sz="0" w:space="0" w:color="auto"/>
        <w:right w:val="none" w:sz="0" w:space="0" w:color="auto"/>
      </w:divBdr>
    </w:div>
    <w:div w:id="203090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0FEEA-315E-40D1-B4E3-C1DC3E3E5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5330</Words>
  <Characters>30386</Characters>
  <Application>Microsoft Office Word</Application>
  <DocSecurity>0</DocSecurity>
  <Lines>253</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CeciliaFurtade</cp:lastModifiedBy>
  <cp:revision>3</cp:revision>
  <cp:lastPrinted>2015-01-05T09:17:00Z</cp:lastPrinted>
  <dcterms:created xsi:type="dcterms:W3CDTF">2016-02-02T16:58:00Z</dcterms:created>
  <dcterms:modified xsi:type="dcterms:W3CDTF">2016-02-03T10:03:00Z</dcterms:modified>
</cp:coreProperties>
</file>